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4E83D" w14:textId="7D13ED62" w:rsidR="47515C4D" w:rsidRDefault="1B7CFC3E" w:rsidP="009021A5">
      <w:pPr>
        <w:spacing w:line="240" w:lineRule="auto"/>
        <w:rPr>
          <w:rFonts w:eastAsiaTheme="minorEastAsia"/>
          <w:b/>
          <w:bCs/>
        </w:rPr>
      </w:pPr>
      <w:r w:rsidRPr="1B7CFC3E">
        <w:rPr>
          <w:rFonts w:eastAsiaTheme="minorEastAsia"/>
          <w:b/>
          <w:bCs/>
        </w:rPr>
        <w:t xml:space="preserve">Crise do Covid-19: Conta de luz </w:t>
      </w:r>
      <w:r w:rsidR="00A25C0B">
        <w:rPr>
          <w:rFonts w:eastAsiaTheme="minorEastAsia"/>
          <w:b/>
          <w:bCs/>
        </w:rPr>
        <w:t>de</w:t>
      </w:r>
      <w:r w:rsidRPr="1B7CFC3E">
        <w:rPr>
          <w:rFonts w:eastAsiaTheme="minorEastAsia"/>
          <w:b/>
          <w:bCs/>
        </w:rPr>
        <w:t xml:space="preserve"> pequenos negócios pode ter desconto de até 15% com Geração Distribuída</w:t>
      </w:r>
    </w:p>
    <w:p w14:paraId="5B384780" w14:textId="670D1914" w:rsidR="1B7CFC3E" w:rsidRPr="00C736F1" w:rsidRDefault="1B7CFC3E" w:rsidP="009021A5">
      <w:pPr>
        <w:spacing w:line="240" w:lineRule="auto"/>
        <w:rPr>
          <w:i/>
          <w:iCs/>
        </w:rPr>
      </w:pPr>
      <w:r w:rsidRPr="1B7CFC3E">
        <w:rPr>
          <w:i/>
          <w:iCs/>
        </w:rPr>
        <w:t xml:space="preserve">Modalidade de consumo de energia </w:t>
      </w:r>
      <w:r w:rsidRPr="00C736F1">
        <w:rPr>
          <w:i/>
          <w:iCs/>
        </w:rPr>
        <w:t>autorizada pela Aneel permite que empresas e comércios se unam em cooperativas para usufruir dos benefícios, sem investimento para adesão.</w:t>
      </w:r>
    </w:p>
    <w:p w14:paraId="43716B0B" w14:textId="011F497E" w:rsidR="000C51C3" w:rsidRPr="00C736F1" w:rsidRDefault="1B7CFC3E" w:rsidP="009021A5">
      <w:pPr>
        <w:spacing w:line="240" w:lineRule="auto"/>
        <w:rPr>
          <w:rFonts w:eastAsiaTheme="minorEastAsia"/>
        </w:rPr>
      </w:pPr>
      <w:r w:rsidRPr="00C736F1">
        <w:rPr>
          <w:rFonts w:eastAsiaTheme="minorEastAsia"/>
        </w:rPr>
        <w:t xml:space="preserve">Em épocas de crise e de readequação econômica devido à pandemia do novo coronavírus, grande parte das empresas, principalmente as de pequeno e médio porte, buscam soluções para resistir ao momento de incertezas. Uma delas, amplamente indicada por especialistas </w:t>
      </w:r>
      <w:r w:rsidR="00A25C0B">
        <w:rPr>
          <w:rFonts w:eastAsiaTheme="minorEastAsia"/>
        </w:rPr>
        <w:t>em economia</w:t>
      </w:r>
      <w:r w:rsidRPr="00C736F1">
        <w:rPr>
          <w:rFonts w:eastAsiaTheme="minorEastAsia"/>
        </w:rPr>
        <w:t xml:space="preserve">, é a renegociação e revisão de serviços e fornecedores contratados. E nessa manutenção deve-se incluir os serviços essenciais como a luz elétrica. O que poucos empreendedores sabem é que uma normativa criada pela Aneel - </w:t>
      </w:r>
      <w:r w:rsidRPr="00C736F1">
        <w:rPr>
          <w:rFonts w:eastAsiaTheme="minorEastAsia"/>
          <w:lang w:val="en-US"/>
        </w:rPr>
        <w:t>Agência Nacional de Energia Elétrica</w:t>
      </w:r>
      <w:r w:rsidR="000E538A">
        <w:rPr>
          <w:rFonts w:eastAsiaTheme="minorEastAsia"/>
          <w:lang w:val="en-US"/>
        </w:rPr>
        <w:t>,</w:t>
      </w:r>
      <w:r w:rsidRPr="00C736F1">
        <w:rPr>
          <w:rFonts w:eastAsiaTheme="minorEastAsia"/>
          <w:lang w:val="en-US"/>
        </w:rPr>
        <w:t xml:space="preserve"> </w:t>
      </w:r>
      <w:r w:rsidRPr="00C736F1">
        <w:rPr>
          <w:rFonts w:eastAsiaTheme="minorEastAsia"/>
        </w:rPr>
        <w:t>em 2012</w:t>
      </w:r>
      <w:r w:rsidR="000E538A">
        <w:rPr>
          <w:rFonts w:eastAsiaTheme="minorEastAsia"/>
        </w:rPr>
        <w:t>,</w:t>
      </w:r>
      <w:r w:rsidRPr="00C736F1">
        <w:rPr>
          <w:rFonts w:eastAsiaTheme="minorEastAsia"/>
        </w:rPr>
        <w:t xml:space="preserve"> regularizou a modalidade de consumo chamada geração distribuída</w:t>
      </w:r>
      <w:r w:rsidR="00FD66D1">
        <w:rPr>
          <w:rFonts w:eastAsiaTheme="minorEastAsia"/>
        </w:rPr>
        <w:t xml:space="preserve"> que está e</w:t>
      </w:r>
      <w:r w:rsidRPr="00C736F1">
        <w:rPr>
          <w:rFonts w:eastAsiaTheme="minorEastAsia"/>
        </w:rPr>
        <w:t>m plena expansão em todo o país</w:t>
      </w:r>
      <w:r w:rsidR="00FD66D1">
        <w:rPr>
          <w:rFonts w:eastAsiaTheme="minorEastAsia"/>
        </w:rPr>
        <w:t>.</w:t>
      </w:r>
      <w:r w:rsidRPr="00C736F1">
        <w:rPr>
          <w:rFonts w:eastAsiaTheme="minorEastAsia"/>
        </w:rPr>
        <w:t xml:space="preserve"> </w:t>
      </w:r>
      <w:r w:rsidR="00FD66D1">
        <w:rPr>
          <w:rFonts w:eastAsiaTheme="minorEastAsia"/>
        </w:rPr>
        <w:t xml:space="preserve">Com ela, </w:t>
      </w:r>
      <w:r w:rsidRPr="00C736F1">
        <w:rPr>
          <w:rFonts w:eastAsiaTheme="minorEastAsia"/>
        </w:rPr>
        <w:t xml:space="preserve">pequenos e médios negócios e comércios podem obter até 15% de desconto na fatura de energia elétrica. </w:t>
      </w:r>
    </w:p>
    <w:p w14:paraId="14C7DFED" w14:textId="2C742210" w:rsidR="00BA7F55" w:rsidRDefault="1B7CFC3E" w:rsidP="009021A5">
      <w:pPr>
        <w:spacing w:line="240" w:lineRule="auto"/>
        <w:rPr>
          <w:rFonts w:eastAsiaTheme="minorEastAsia"/>
        </w:rPr>
      </w:pPr>
      <w:r w:rsidRPr="00C736F1">
        <w:rPr>
          <w:rFonts w:eastAsiaTheme="minorEastAsia"/>
        </w:rPr>
        <w:t xml:space="preserve">Isso é possível porque a normativa permite produzir energia </w:t>
      </w:r>
      <w:r w:rsidR="00977D47" w:rsidRPr="00C736F1">
        <w:rPr>
          <w:rFonts w:eastAsiaTheme="minorEastAsia"/>
        </w:rPr>
        <w:t>para consumo próprio</w:t>
      </w:r>
      <w:r w:rsidRPr="1B7CFC3E">
        <w:rPr>
          <w:rFonts w:eastAsiaTheme="minorEastAsia"/>
        </w:rPr>
        <w:t xml:space="preserve"> ou consumir energia de uma geradora local, pelo </w:t>
      </w:r>
      <w:r w:rsidRPr="1B7CFC3E">
        <w:rPr>
          <w:rFonts w:eastAsiaTheme="minorEastAsia"/>
          <w:lang w:val="en-US"/>
        </w:rPr>
        <w:t xml:space="preserve">mecanismo de compensação de energia elétrica. Em outras palavras, é como comprar energia direto do produtor, sem os custos adicionais do distribuidor. “A prática da geração distribuída abriu </w:t>
      </w:r>
      <w:r>
        <w:t xml:space="preserve">portas para a geração compartilhada através de três modalidades diferentes: condomínio, </w:t>
      </w:r>
      <w:r w:rsidRPr="00C736F1">
        <w:t>consórcio e cooperativa. Essas modalidades permitem que vários consumidores se reúnam com o objetivo de gerar sua própria energia através de uma usina geradora, ou no caso de não ter uma geradora própria</w:t>
      </w:r>
      <w:r w:rsidR="00BF2B9A">
        <w:t xml:space="preserve">, </w:t>
      </w:r>
      <w:r w:rsidRPr="00C736F1">
        <w:t>com o arrendamento d</w:t>
      </w:r>
      <w:r w:rsidR="00C736F1" w:rsidRPr="00C736F1">
        <w:t>e um</w:t>
      </w:r>
      <w:r w:rsidRPr="00C736F1">
        <w:t xml:space="preserve"> espaço de</w:t>
      </w:r>
      <w:r>
        <w:t xml:space="preserve"> produção”, explica </w:t>
      </w:r>
      <w:r w:rsidR="00DB032E">
        <w:rPr>
          <w:rFonts w:eastAsiaTheme="minorEastAsia"/>
        </w:rPr>
        <w:t xml:space="preserve">Wolney Pereira CEO </w:t>
      </w:r>
      <w:r w:rsidR="00C736F1">
        <w:rPr>
          <w:rFonts w:eastAsiaTheme="minorEastAsia"/>
        </w:rPr>
        <w:t>da</w:t>
      </w:r>
      <w:r w:rsidRPr="1B7CFC3E">
        <w:rPr>
          <w:rFonts w:eastAsiaTheme="minorEastAsia"/>
        </w:rPr>
        <w:t xml:space="preserve"> Gedisa Energia, empresa especializada em administrar cooperativas de consumo de geração distribuída. </w:t>
      </w:r>
    </w:p>
    <w:p w14:paraId="151C99E5" w14:textId="31CBD5F3" w:rsidR="002C10CB" w:rsidRPr="00C736F1" w:rsidRDefault="00D80302" w:rsidP="009021A5">
      <w:pPr>
        <w:spacing w:line="240" w:lineRule="auto"/>
        <w:rPr>
          <w:rFonts w:eastAsiaTheme="minorEastAsia"/>
        </w:rPr>
      </w:pPr>
      <w:r w:rsidRPr="00C736F1">
        <w:t xml:space="preserve">No caso das pequenas e médias empresas e </w:t>
      </w:r>
      <w:r w:rsidR="00C33951" w:rsidRPr="00C736F1">
        <w:t xml:space="preserve">do </w:t>
      </w:r>
      <w:r w:rsidRPr="00C736F1">
        <w:t>com</w:t>
      </w:r>
      <w:r w:rsidR="00C33951" w:rsidRPr="00C736F1">
        <w:t>é</w:t>
      </w:r>
      <w:r w:rsidRPr="00C736F1">
        <w:t>rcio, pode-se adquir</w:t>
      </w:r>
      <w:r w:rsidR="00F52B9B" w:rsidRPr="00C736F1">
        <w:t xml:space="preserve">ir o benefício </w:t>
      </w:r>
      <w:r w:rsidR="00655901" w:rsidRPr="00C736F1">
        <w:t xml:space="preserve">participando de uma cooperativa. </w:t>
      </w:r>
      <w:r w:rsidR="00032695" w:rsidRPr="00C736F1">
        <w:t>Neste caso estão inclus</w:t>
      </w:r>
      <w:r w:rsidR="00F50BBD" w:rsidRPr="00C736F1">
        <w:t xml:space="preserve">as empresas </w:t>
      </w:r>
      <w:r w:rsidR="00DB032E">
        <w:t>como</w:t>
      </w:r>
      <w:r w:rsidR="005F0666" w:rsidRPr="00C736F1">
        <w:t xml:space="preserve"> </w:t>
      </w:r>
      <w:r w:rsidR="002C10CB" w:rsidRPr="00C736F1">
        <w:rPr>
          <w:rFonts w:eastAsiaTheme="minorEastAsia"/>
        </w:rPr>
        <w:t xml:space="preserve">mercados, salões de beleza, postos de gasolina, panificadoras, </w:t>
      </w:r>
      <w:r w:rsidR="005F0666" w:rsidRPr="00C736F1">
        <w:rPr>
          <w:rFonts w:eastAsiaTheme="minorEastAsia"/>
        </w:rPr>
        <w:t xml:space="preserve">lojas, </w:t>
      </w:r>
      <w:r w:rsidR="00AE267C" w:rsidRPr="00C736F1">
        <w:rPr>
          <w:rFonts w:eastAsiaTheme="minorEastAsia"/>
        </w:rPr>
        <w:t xml:space="preserve">restaurantes, </w:t>
      </w:r>
      <w:r w:rsidR="002C10CB" w:rsidRPr="00C736F1">
        <w:rPr>
          <w:rFonts w:eastAsiaTheme="minorEastAsia"/>
        </w:rPr>
        <w:t xml:space="preserve">entre outros. </w:t>
      </w:r>
    </w:p>
    <w:p w14:paraId="73632D3E" w14:textId="552B9088" w:rsidR="1B7CFC3E" w:rsidRPr="00C736F1" w:rsidRDefault="1B7CFC3E" w:rsidP="009021A5">
      <w:pPr>
        <w:spacing w:line="240" w:lineRule="auto"/>
        <w:rPr>
          <w:rFonts w:eastAsiaTheme="minorEastAsia"/>
        </w:rPr>
      </w:pPr>
      <w:r w:rsidRPr="00C736F1">
        <w:rPr>
          <w:rFonts w:eastAsiaTheme="minorEastAsia"/>
        </w:rPr>
        <w:t xml:space="preserve">“Esses grupos podem receber até 15% de desconto em sua fatura de energia. Isso ocorre porque há um contrato direto </w:t>
      </w:r>
      <w:r w:rsidRPr="00C736F1">
        <w:rPr>
          <w:rFonts w:eastAsiaTheme="minorEastAsia"/>
          <w:color w:val="000000" w:themeColor="text1"/>
        </w:rPr>
        <w:t>de fornecimento com as geradoras independentes, que fornecem a energia pelas mesmas redes de distribuição padrão até os comerciantes participantes. Isso significa também que não há necessidade de nenhum investimento adicional por parte do cooperado. Nem de adesão à cooperativa”, explica.</w:t>
      </w:r>
    </w:p>
    <w:p w14:paraId="116E384B" w14:textId="6014E217" w:rsidR="00982798" w:rsidRPr="00C736F1" w:rsidRDefault="00982798" w:rsidP="009021A5">
      <w:pPr>
        <w:spacing w:line="240" w:lineRule="auto"/>
        <w:rPr>
          <w:rFonts w:eastAsiaTheme="minorEastAsia"/>
          <w:b/>
          <w:bCs/>
          <w:sz w:val="24"/>
          <w:szCs w:val="24"/>
        </w:rPr>
      </w:pPr>
      <w:r w:rsidRPr="00C736F1">
        <w:rPr>
          <w:rFonts w:eastAsiaTheme="minorEastAsia"/>
          <w:b/>
          <w:bCs/>
          <w:sz w:val="24"/>
          <w:szCs w:val="24"/>
        </w:rPr>
        <w:t>Como funciona na prática?</w:t>
      </w:r>
    </w:p>
    <w:p w14:paraId="5E99A3A6" w14:textId="35F6C753" w:rsidR="005119C6" w:rsidRPr="005119C6" w:rsidRDefault="005119C6" w:rsidP="009021A5">
      <w:pPr>
        <w:spacing w:line="240" w:lineRule="auto"/>
        <w:rPr>
          <w:rFonts w:eastAsiaTheme="minorEastAsia"/>
          <w:color w:val="000000" w:themeColor="text1"/>
        </w:rPr>
      </w:pPr>
      <w:r w:rsidRPr="00C736F1">
        <w:rPr>
          <w:rFonts w:eastAsiaTheme="minorEastAsia"/>
          <w:color w:val="000000" w:themeColor="text1"/>
        </w:rPr>
        <w:t xml:space="preserve">Para </w:t>
      </w:r>
      <w:r w:rsidR="00E97E83" w:rsidRPr="00C736F1">
        <w:rPr>
          <w:rFonts w:eastAsiaTheme="minorEastAsia"/>
          <w:color w:val="000000" w:themeColor="text1"/>
        </w:rPr>
        <w:t xml:space="preserve">começar, </w:t>
      </w:r>
      <w:r w:rsidR="00982798" w:rsidRPr="00C736F1">
        <w:rPr>
          <w:rFonts w:eastAsiaTheme="minorEastAsia"/>
          <w:color w:val="000000" w:themeColor="text1"/>
        </w:rPr>
        <w:t>a empresa precisa ter a conta de luz em seu CNPJ</w:t>
      </w:r>
      <w:r w:rsidR="00C736F1" w:rsidRPr="00C736F1">
        <w:rPr>
          <w:rFonts w:eastAsiaTheme="minorEastAsia"/>
          <w:color w:val="000000" w:themeColor="text1"/>
        </w:rPr>
        <w:t xml:space="preserve"> ou CPF</w:t>
      </w:r>
      <w:r w:rsidR="00982798" w:rsidRPr="00C736F1">
        <w:rPr>
          <w:rFonts w:eastAsiaTheme="minorEastAsia"/>
          <w:color w:val="000000" w:themeColor="text1"/>
        </w:rPr>
        <w:t xml:space="preserve"> e ser consumidor </w:t>
      </w:r>
      <w:r w:rsidR="004F65F9" w:rsidRPr="00C736F1">
        <w:rPr>
          <w:rFonts w:eastAsiaTheme="minorEastAsia"/>
          <w:color w:val="000000" w:themeColor="text1"/>
        </w:rPr>
        <w:t>categorizado como “</w:t>
      </w:r>
      <w:r w:rsidR="00982798" w:rsidRPr="00C736F1">
        <w:rPr>
          <w:rFonts w:eastAsiaTheme="minorEastAsia"/>
          <w:color w:val="000000" w:themeColor="text1"/>
        </w:rPr>
        <w:t>B</w:t>
      </w:r>
      <w:r w:rsidR="004F65F9" w:rsidRPr="00C736F1">
        <w:rPr>
          <w:rFonts w:eastAsiaTheme="minorEastAsia"/>
          <w:color w:val="000000" w:themeColor="text1"/>
        </w:rPr>
        <w:t>”</w:t>
      </w:r>
      <w:r w:rsidR="00DB032E">
        <w:rPr>
          <w:rFonts w:eastAsiaTheme="minorEastAsia"/>
          <w:color w:val="000000" w:themeColor="text1"/>
        </w:rPr>
        <w:t xml:space="preserve">. </w:t>
      </w:r>
      <w:r w:rsidRPr="00C736F1">
        <w:rPr>
          <w:rFonts w:eastAsiaTheme="minorEastAsia"/>
          <w:color w:val="000000" w:themeColor="text1"/>
        </w:rPr>
        <w:t>O próximo passo é se tornar um cooperado. Para is</w:t>
      </w:r>
      <w:r w:rsidR="00E97E83" w:rsidRPr="00C736F1">
        <w:rPr>
          <w:rFonts w:eastAsiaTheme="minorEastAsia"/>
          <w:color w:val="000000" w:themeColor="text1"/>
        </w:rPr>
        <w:t>s</w:t>
      </w:r>
      <w:r w:rsidRPr="00C736F1">
        <w:rPr>
          <w:rFonts w:eastAsiaTheme="minorEastAsia"/>
          <w:color w:val="000000" w:themeColor="text1"/>
        </w:rPr>
        <w:t>o</w:t>
      </w:r>
      <w:r w:rsidRPr="005119C6">
        <w:rPr>
          <w:rFonts w:eastAsiaTheme="minorEastAsia"/>
          <w:color w:val="000000" w:themeColor="text1"/>
        </w:rPr>
        <w:t xml:space="preserve"> há administradoras de cooperativas, que fazem todo o processo de ponta a ponta para reunir as</w:t>
      </w:r>
      <w:r w:rsidR="00E97E83">
        <w:rPr>
          <w:rFonts w:eastAsiaTheme="minorEastAsia"/>
          <w:color w:val="000000" w:themeColor="text1"/>
        </w:rPr>
        <w:t xml:space="preserve"> </w:t>
      </w:r>
      <w:r w:rsidRPr="005119C6">
        <w:rPr>
          <w:rFonts w:eastAsiaTheme="minorEastAsia"/>
          <w:color w:val="000000" w:themeColor="text1"/>
        </w:rPr>
        <w:t>empresas</w:t>
      </w:r>
      <w:r w:rsidR="00E97E83">
        <w:rPr>
          <w:rFonts w:eastAsiaTheme="minorEastAsia"/>
          <w:color w:val="000000" w:themeColor="text1"/>
        </w:rPr>
        <w:t xml:space="preserve">, conectar às geradoras e </w:t>
      </w:r>
      <w:r w:rsidR="000C2F21">
        <w:rPr>
          <w:rFonts w:eastAsiaTheme="minorEastAsia"/>
          <w:color w:val="000000" w:themeColor="text1"/>
        </w:rPr>
        <w:t>garantir os benefícios aos cooperados</w:t>
      </w:r>
      <w:r w:rsidRPr="005119C6">
        <w:rPr>
          <w:rFonts w:eastAsiaTheme="minorEastAsia"/>
          <w:color w:val="000000" w:themeColor="text1"/>
        </w:rPr>
        <w:t xml:space="preserve">. </w:t>
      </w:r>
    </w:p>
    <w:p w14:paraId="4C723F21" w14:textId="3046D3E7" w:rsidR="00982798" w:rsidRPr="005119C6" w:rsidRDefault="715EE178" w:rsidP="009021A5">
      <w:pPr>
        <w:spacing w:line="240" w:lineRule="auto"/>
        <w:rPr>
          <w:rFonts w:eastAsiaTheme="minorEastAsia"/>
          <w:color w:val="000000" w:themeColor="text1"/>
        </w:rPr>
      </w:pPr>
      <w:r w:rsidRPr="715EE178">
        <w:rPr>
          <w:rFonts w:eastAsiaTheme="minorEastAsia"/>
          <w:color w:val="000000" w:themeColor="text1"/>
        </w:rPr>
        <w:t xml:space="preserve">“Ao se tornar um cooperado, a empresa não tem nenhum custo ou investimento algum em estrutura física. A distribuição segue pela distribuidora local de energia de seu estado e a compensação é feita por créditos de energia entre geradora e distribuidora. A diferença fica no modelo de pagamento, que passa a ser com duas faturas de energia, sendo uma com o desconto compensatório. Porém a administradora faz todo o trabalho </w:t>
      </w:r>
      <w:r w:rsidR="00DB032E">
        <w:rPr>
          <w:rFonts w:eastAsiaTheme="minorEastAsia"/>
          <w:color w:val="000000" w:themeColor="text1"/>
        </w:rPr>
        <w:t>de coordenar a operação</w:t>
      </w:r>
      <w:r w:rsidRPr="715EE178">
        <w:rPr>
          <w:rFonts w:eastAsiaTheme="minorEastAsia"/>
          <w:color w:val="000000" w:themeColor="text1"/>
        </w:rPr>
        <w:t xml:space="preserve"> de energia junto às cooperativas. </w:t>
      </w:r>
      <w:r w:rsidRPr="715EE178">
        <w:rPr>
          <w:rFonts w:eastAsiaTheme="minorEastAsia"/>
        </w:rPr>
        <w:t>Visamos potencializar a rentabilidade dos geradores de energia e ajudar consumidores na diminuição de suas faturas, ajudando o pequeno negócio a utilizar os benefícios que são seus por direito</w:t>
      </w:r>
      <w:r w:rsidRPr="715EE178">
        <w:rPr>
          <w:rFonts w:eastAsiaTheme="minorEastAsia"/>
          <w:color w:val="000000" w:themeColor="text1"/>
        </w:rPr>
        <w:t xml:space="preserve">”, conta Mocelin. </w:t>
      </w:r>
    </w:p>
    <w:p w14:paraId="58F218B2" w14:textId="0C2FBDB9" w:rsidR="00307685" w:rsidRDefault="006D03D8" w:rsidP="009021A5">
      <w:pPr>
        <w:spacing w:line="240" w:lineRule="auto"/>
        <w:rPr>
          <w:rFonts w:eastAsiaTheme="minorEastAsia"/>
        </w:rPr>
      </w:pPr>
      <w:r>
        <w:rPr>
          <w:rFonts w:eastAsiaTheme="minorEastAsia"/>
          <w:color w:val="000000" w:themeColor="text1"/>
        </w:rPr>
        <w:lastRenderedPageBreak/>
        <w:t xml:space="preserve">Usuários da geração distribuída </w:t>
      </w:r>
      <w:r w:rsidR="715EE178" w:rsidRPr="715EE178">
        <w:rPr>
          <w:rFonts w:eastAsiaTheme="minorEastAsia"/>
          <w:color w:val="000000" w:themeColor="text1"/>
        </w:rPr>
        <w:t xml:space="preserve">também enxergam a redução com bons olhos. “Com o dinheiro que economizamos na fatura, podemos aplicar no próprio negócio, </w:t>
      </w:r>
      <w:r>
        <w:rPr>
          <w:rFonts w:eastAsiaTheme="minorEastAsia"/>
          <w:color w:val="000000" w:themeColor="text1"/>
        </w:rPr>
        <w:t>fazendo</w:t>
      </w:r>
      <w:r w:rsidR="715EE178" w:rsidRPr="715EE178">
        <w:rPr>
          <w:rFonts w:eastAsiaTheme="minorEastAsia"/>
          <w:color w:val="000000" w:themeColor="text1"/>
        </w:rPr>
        <w:t xml:space="preserve"> investimentos ou </w:t>
      </w:r>
      <w:r>
        <w:rPr>
          <w:rFonts w:eastAsiaTheme="minorEastAsia"/>
          <w:color w:val="000000" w:themeColor="text1"/>
        </w:rPr>
        <w:t xml:space="preserve">utilizando </w:t>
      </w:r>
      <w:r w:rsidR="715EE178" w:rsidRPr="715EE178">
        <w:rPr>
          <w:rFonts w:eastAsiaTheme="minorEastAsia"/>
          <w:color w:val="000000" w:themeColor="text1"/>
        </w:rPr>
        <w:t>até</w:t>
      </w:r>
      <w:r>
        <w:rPr>
          <w:rFonts w:eastAsiaTheme="minorEastAsia"/>
          <w:color w:val="000000" w:themeColor="text1"/>
        </w:rPr>
        <w:t xml:space="preserve"> na</w:t>
      </w:r>
      <w:r w:rsidR="715EE178" w:rsidRPr="715EE178">
        <w:rPr>
          <w:rFonts w:eastAsiaTheme="minorEastAsia"/>
          <w:color w:val="000000" w:themeColor="text1"/>
        </w:rPr>
        <w:t xml:space="preserve"> folha de pagamento”, </w:t>
      </w:r>
      <w:r>
        <w:rPr>
          <w:rFonts w:eastAsiaTheme="minorEastAsia"/>
          <w:color w:val="000000" w:themeColor="text1"/>
        </w:rPr>
        <w:t>conta</w:t>
      </w:r>
      <w:r w:rsidR="715EE178" w:rsidRPr="715EE178">
        <w:rPr>
          <w:rFonts w:eastAsiaTheme="minorEastAsia"/>
          <w:color w:val="000000" w:themeColor="text1"/>
        </w:rPr>
        <w:t xml:space="preserve"> Leia Janaina Aguiar, do setor financeiro da KF Grill, cliente da Gedisa. </w:t>
      </w:r>
    </w:p>
    <w:p w14:paraId="5337A97D" w14:textId="22C2B109" w:rsidR="00307685" w:rsidRPr="00CC29A2" w:rsidRDefault="00CC29A2" w:rsidP="009021A5">
      <w:pPr>
        <w:spacing w:line="240" w:lineRule="auto"/>
        <w:rPr>
          <w:rFonts w:eastAsiaTheme="minorEastAsia"/>
          <w:b/>
          <w:bCs/>
        </w:rPr>
      </w:pPr>
      <w:r w:rsidRPr="00CC29A2">
        <w:rPr>
          <w:rFonts w:eastAsiaTheme="minorEastAsia"/>
          <w:b/>
          <w:bCs/>
        </w:rPr>
        <w:t>Mas o que é de fato a Geração Distribuída?</w:t>
      </w:r>
    </w:p>
    <w:p w14:paraId="7383E08C" w14:textId="597C0005" w:rsidR="47515C4D" w:rsidRDefault="1B7CFC3E" w:rsidP="009021A5">
      <w:pPr>
        <w:spacing w:line="240" w:lineRule="auto"/>
        <w:rPr>
          <w:rFonts w:eastAsiaTheme="minorEastAsia"/>
        </w:rPr>
      </w:pPr>
      <w:r w:rsidRPr="1B7CFC3E">
        <w:rPr>
          <w:rFonts w:eastAsiaTheme="minorEastAsia"/>
        </w:rPr>
        <w:t xml:space="preserve">A Geração Distribuída (GD) é a modalidade pela qual o consumidor gera toda ou parte da energia elétrica que consome e é utilizada por meio da compensação de créditos. Esta compensação serve para consumidores que usam a energia gerada para abater o seu consumo de energia elétrica. A energia da </w:t>
      </w:r>
      <w:r w:rsidRPr="00C736F1">
        <w:rPr>
          <w:rFonts w:eastAsiaTheme="minorEastAsia"/>
        </w:rPr>
        <w:t xml:space="preserve">geração distribuída é válida para diversas fontes sustentáveis, como a energia solar, eólica e usinas hidroelétricas. </w:t>
      </w:r>
      <w:r w:rsidR="00F83F6D" w:rsidRPr="00C736F1">
        <w:rPr>
          <w:rFonts w:eastAsiaTheme="minorEastAsia"/>
        </w:rPr>
        <w:t>E no caso de o consumidor não dispor de investimento para gerar a própria energia, ele pode entrar para uma cooperativa de energia, que, sem qualquer investimento, pode gerar a energia que ele irá consumir.</w:t>
      </w:r>
    </w:p>
    <w:p w14:paraId="2E75F61D" w14:textId="411F3F36" w:rsidR="47515C4D" w:rsidRPr="00073F3B" w:rsidRDefault="007C09C1" w:rsidP="009021A5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0000" w:themeColor="text1"/>
        </w:rPr>
        <w:t xml:space="preserve">Sustentabilidade: </w:t>
      </w:r>
      <w:r w:rsidR="47515C4D" w:rsidRPr="00073F3B">
        <w:rPr>
          <w:rFonts w:ascii="Calibri" w:eastAsia="Calibri" w:hAnsi="Calibri" w:cs="Calibri"/>
          <w:b/>
          <w:bCs/>
          <w:color w:val="000000" w:themeColor="text1"/>
        </w:rPr>
        <w:t>GD impulsiona o setor de energias renováveis</w:t>
      </w:r>
    </w:p>
    <w:p w14:paraId="5B6D7AED" w14:textId="075C4506" w:rsidR="47515C4D" w:rsidRPr="00073F3B" w:rsidRDefault="715EE178" w:rsidP="009021A5">
      <w:pPr>
        <w:spacing w:line="240" w:lineRule="auto"/>
        <w:rPr>
          <w:rFonts w:eastAsiaTheme="minorEastAsia"/>
          <w:color w:val="000000" w:themeColor="text1"/>
        </w:rPr>
      </w:pPr>
      <w:r w:rsidRPr="715EE178">
        <w:rPr>
          <w:rFonts w:ascii="Calibri" w:eastAsia="Calibri" w:hAnsi="Calibri" w:cs="Calibri"/>
          <w:color w:val="000000" w:themeColor="text1"/>
        </w:rPr>
        <w:t xml:space="preserve">A Geração Distribuída é um ótimo negócio também pelos benefícios que a modalidade pode proporcionar ao sistema elétrico. Hoje, o Brasil conta com mais de 100 mil sistemas de micro e minigeração distribuída de energia elétrica, segundo dados de 2019 da Associação Brasileira de Geração </w:t>
      </w:r>
      <w:r w:rsidRPr="715EE178">
        <w:rPr>
          <w:rFonts w:eastAsiaTheme="minorEastAsia"/>
          <w:color w:val="000000" w:themeColor="text1"/>
        </w:rPr>
        <w:t>Distribuída (ABGD).</w:t>
      </w:r>
    </w:p>
    <w:p w14:paraId="66DE1130" w14:textId="78D047C3" w:rsidR="47515C4D" w:rsidRPr="00073F3B" w:rsidRDefault="715EE178" w:rsidP="009021A5">
      <w:pPr>
        <w:spacing w:line="240" w:lineRule="auto"/>
        <w:rPr>
          <w:rFonts w:eastAsiaTheme="minorEastAsia"/>
          <w:color w:val="000000" w:themeColor="text1"/>
        </w:rPr>
      </w:pPr>
      <w:r w:rsidRPr="715EE178">
        <w:rPr>
          <w:rFonts w:eastAsiaTheme="minorEastAsia"/>
          <w:color w:val="000000" w:themeColor="text1"/>
        </w:rPr>
        <w:t>Mas, além disso, seu funcionamento proporciona o baixo impacto ambiental, por utilizar fontes de energia renováveis como a solar e a eólica. Uma delas é a fotovoltaica, que está em grande crescimento no país. Desde a normatização da GD, em 2012, foram R$4,8 bilhões acumulados em investimentos no mercado solar, de acordo com a Associação Brasileira de Energia Solar Fotovoltaica (Absolar).</w:t>
      </w:r>
    </w:p>
    <w:p w14:paraId="441BE788" w14:textId="0BB77E97" w:rsidR="47515C4D" w:rsidRDefault="715EE178" w:rsidP="009021A5">
      <w:pPr>
        <w:spacing w:line="240" w:lineRule="auto"/>
        <w:rPr>
          <w:rFonts w:eastAsiaTheme="minorEastAsia"/>
          <w:color w:val="000000" w:themeColor="text1"/>
        </w:rPr>
      </w:pPr>
      <w:r w:rsidRPr="715EE178">
        <w:rPr>
          <w:rFonts w:eastAsiaTheme="minorEastAsia"/>
          <w:color w:val="000000" w:themeColor="text1"/>
        </w:rPr>
        <w:t xml:space="preserve">Neste ano, a fonte solar atingiu, ao fim do primeiro trimestre, a marca de 5.114 gigawatts (GW) de capacidade instalada no país, um aumento de 14,4% frente aos 4.470 GW do fim de 2019. Deste total, 55%, ou 2.687 GW, referem-se a usinas de grande porte, conhecidas no setor como "geração centralizada", e os demais 2.427 GW referem-se aos mais de 208,3 mil sistemas de mini ou micro geração. Os números fazem parte de um levantamento feito pela Absolar. </w:t>
      </w:r>
    </w:p>
    <w:sectPr w:rsidR="4751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5FF1" w16cex:dateUtc="2020-04-08T17:36:00Z"/>
  <w16cex:commentExtensible w16cex:durableId="22386098" w16cex:dateUtc="2020-04-08T17:39:00Z"/>
  <w16cex:commentExtensible w16cex:durableId="223860E8" w16cex:dateUtc="2020-04-08T17:40:00Z"/>
  <w16cex:commentExtensible w16cex:durableId="22386108" w16cex:dateUtc="2020-04-08T17:41:00Z"/>
  <w16cex:commentExtensible w16cex:durableId="22386125" w16cex:dateUtc="2020-04-08T17:41:00Z"/>
  <w16cex:commentExtensible w16cex:durableId="223ECF5E" w16cex:dateUtc="2020-04-13T14:45:00Z"/>
  <w16cex:commentExtensible w16cex:durableId="223ED225" w16cex:dateUtc="2020-04-13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62D49" w16cid:durableId="224E806D"/>
  <w16cid:commentId w16cid:paraId="793854BA" w16cid:durableId="224E7E53"/>
  <w16cid:commentId w16cid:paraId="4E45336D" w16cid:durableId="224E7EE7"/>
  <w16cid:commentId w16cid:paraId="505645D9" w16cid:durableId="224E7F28"/>
  <w16cid:commentId w16cid:paraId="411BD943" w16cid:durableId="224E7F7F"/>
  <w16cid:commentId w16cid:paraId="33FDCBF4" w16cid:durableId="224E80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7E9"/>
    <w:multiLevelType w:val="hybridMultilevel"/>
    <w:tmpl w:val="8F30C15E"/>
    <w:lvl w:ilvl="0" w:tplc="D9809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2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E8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9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63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C2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EE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42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60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60B9A"/>
    <w:multiLevelType w:val="hybridMultilevel"/>
    <w:tmpl w:val="A4804764"/>
    <w:lvl w:ilvl="0" w:tplc="53F43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AD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0F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8A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AB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6F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2B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03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4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46173"/>
    <w:multiLevelType w:val="hybridMultilevel"/>
    <w:tmpl w:val="97E84912"/>
    <w:lvl w:ilvl="0" w:tplc="BD02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EA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2D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6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A0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49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03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05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23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21F22"/>
    <w:multiLevelType w:val="hybridMultilevel"/>
    <w:tmpl w:val="48369844"/>
    <w:lvl w:ilvl="0" w:tplc="D3C4B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80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4F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20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62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C4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01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07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4C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46EE5"/>
    <w:multiLevelType w:val="hybridMultilevel"/>
    <w:tmpl w:val="1EF05AB2"/>
    <w:lvl w:ilvl="0" w:tplc="B5FC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0D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2C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8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61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83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4D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82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2B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72F415"/>
    <w:rsid w:val="00032695"/>
    <w:rsid w:val="00037F51"/>
    <w:rsid w:val="00073F3B"/>
    <w:rsid w:val="000C2F21"/>
    <w:rsid w:val="000C51C3"/>
    <w:rsid w:val="000E192B"/>
    <w:rsid w:val="000E538A"/>
    <w:rsid w:val="00103147"/>
    <w:rsid w:val="00110544"/>
    <w:rsid w:val="0013495D"/>
    <w:rsid w:val="001536E2"/>
    <w:rsid w:val="00161279"/>
    <w:rsid w:val="001A411A"/>
    <w:rsid w:val="001D316B"/>
    <w:rsid w:val="001D4459"/>
    <w:rsid w:val="001F37C4"/>
    <w:rsid w:val="001F5A7A"/>
    <w:rsid w:val="00290773"/>
    <w:rsid w:val="002A3DBC"/>
    <w:rsid w:val="002B17C6"/>
    <w:rsid w:val="002C10CB"/>
    <w:rsid w:val="002E6E8A"/>
    <w:rsid w:val="0030653A"/>
    <w:rsid w:val="00307685"/>
    <w:rsid w:val="0031154A"/>
    <w:rsid w:val="00315C98"/>
    <w:rsid w:val="00322C92"/>
    <w:rsid w:val="003425F6"/>
    <w:rsid w:val="003535C6"/>
    <w:rsid w:val="0036070A"/>
    <w:rsid w:val="003912F8"/>
    <w:rsid w:val="003A447C"/>
    <w:rsid w:val="003D0635"/>
    <w:rsid w:val="003F396C"/>
    <w:rsid w:val="00401436"/>
    <w:rsid w:val="004D326A"/>
    <w:rsid w:val="004F0057"/>
    <w:rsid w:val="004F4C21"/>
    <w:rsid w:val="004F65F9"/>
    <w:rsid w:val="005119C6"/>
    <w:rsid w:val="00561DBE"/>
    <w:rsid w:val="005F0666"/>
    <w:rsid w:val="006176E4"/>
    <w:rsid w:val="00655901"/>
    <w:rsid w:val="006675C6"/>
    <w:rsid w:val="006976E4"/>
    <w:rsid w:val="006C43D4"/>
    <w:rsid w:val="006D03D8"/>
    <w:rsid w:val="006D057B"/>
    <w:rsid w:val="006F3D56"/>
    <w:rsid w:val="00741A66"/>
    <w:rsid w:val="00787B2A"/>
    <w:rsid w:val="00794682"/>
    <w:rsid w:val="007C0747"/>
    <w:rsid w:val="007C09C1"/>
    <w:rsid w:val="007C21D8"/>
    <w:rsid w:val="00875B87"/>
    <w:rsid w:val="00884E8C"/>
    <w:rsid w:val="008D4E67"/>
    <w:rsid w:val="009021A5"/>
    <w:rsid w:val="00913FD3"/>
    <w:rsid w:val="00947921"/>
    <w:rsid w:val="00977D47"/>
    <w:rsid w:val="00982798"/>
    <w:rsid w:val="009C5B8E"/>
    <w:rsid w:val="009C73CF"/>
    <w:rsid w:val="009D78A4"/>
    <w:rsid w:val="009F6FC3"/>
    <w:rsid w:val="00A06C5F"/>
    <w:rsid w:val="00A25C0B"/>
    <w:rsid w:val="00A44B5A"/>
    <w:rsid w:val="00A45244"/>
    <w:rsid w:val="00A45817"/>
    <w:rsid w:val="00A52F70"/>
    <w:rsid w:val="00A62487"/>
    <w:rsid w:val="00A816C0"/>
    <w:rsid w:val="00AE267C"/>
    <w:rsid w:val="00B45A6F"/>
    <w:rsid w:val="00B56A62"/>
    <w:rsid w:val="00B61CEC"/>
    <w:rsid w:val="00B75437"/>
    <w:rsid w:val="00B87779"/>
    <w:rsid w:val="00BA726F"/>
    <w:rsid w:val="00BA7F55"/>
    <w:rsid w:val="00BC7A5F"/>
    <w:rsid w:val="00BF2B9A"/>
    <w:rsid w:val="00C246F0"/>
    <w:rsid w:val="00C33951"/>
    <w:rsid w:val="00C45417"/>
    <w:rsid w:val="00C736F1"/>
    <w:rsid w:val="00CA16BC"/>
    <w:rsid w:val="00CA6876"/>
    <w:rsid w:val="00CC29A2"/>
    <w:rsid w:val="00D2109D"/>
    <w:rsid w:val="00D2554E"/>
    <w:rsid w:val="00D7351B"/>
    <w:rsid w:val="00D80302"/>
    <w:rsid w:val="00DB032E"/>
    <w:rsid w:val="00DC6039"/>
    <w:rsid w:val="00DD6364"/>
    <w:rsid w:val="00E24DEE"/>
    <w:rsid w:val="00E400FE"/>
    <w:rsid w:val="00E556D6"/>
    <w:rsid w:val="00E86895"/>
    <w:rsid w:val="00E97E83"/>
    <w:rsid w:val="00EE3841"/>
    <w:rsid w:val="00F32517"/>
    <w:rsid w:val="00F3268D"/>
    <w:rsid w:val="00F327E8"/>
    <w:rsid w:val="00F4065C"/>
    <w:rsid w:val="00F50BBD"/>
    <w:rsid w:val="00F52B9B"/>
    <w:rsid w:val="00F8364F"/>
    <w:rsid w:val="00F83F6D"/>
    <w:rsid w:val="00F868E6"/>
    <w:rsid w:val="00FA646C"/>
    <w:rsid w:val="00FB0D16"/>
    <w:rsid w:val="00FC1EA1"/>
    <w:rsid w:val="00FD66D1"/>
    <w:rsid w:val="00FE305D"/>
    <w:rsid w:val="00FE74FA"/>
    <w:rsid w:val="1B7CFC3E"/>
    <w:rsid w:val="3E72F415"/>
    <w:rsid w:val="445CC990"/>
    <w:rsid w:val="47515C4D"/>
    <w:rsid w:val="715EE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71A2"/>
  <w15:chartTrackingRefBased/>
  <w15:docId w15:val="{18B05714-EC8E-42E4-B5FB-9C7E4FB0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452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2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244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2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244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244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184E-E945-4495-A190-79B7FA85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redacao2@noarcomunicacao.com</cp:lastModifiedBy>
  <cp:revision>14</cp:revision>
  <dcterms:created xsi:type="dcterms:W3CDTF">2020-04-13T14:59:00Z</dcterms:created>
  <dcterms:modified xsi:type="dcterms:W3CDTF">2020-04-27T15:49:00Z</dcterms:modified>
</cp:coreProperties>
</file>