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DC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Fornecimento de medicamentos pelo SUS: levantamento inédito aponta que 63% dos casos são julgados procedentes ou parcialmente procedentes</w:t>
      </w:r>
    </w:p>
    <w:p w14:paraId="00000002" w14:textId="77777777" w:rsidR="00A74DC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últimos cinco anos foram protocolados quase 14 mil processos judiciais solicitando fármacos para tratamento de saúde no Brasil, segund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dados do Judiciário extraídos pela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Legal</w:t>
      </w:r>
    </w:p>
    <w:p w14:paraId="00000003" w14:textId="77777777" w:rsidR="00A74DCD" w:rsidRDefault="00A74D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fornecimento de medicamentos não incluídos no Sistema Único de Saúde (SUS) foi objeto de 13.914 processos judiciais nos últimos cinco anos no Brasil, segundo um levantamento inédito realizado pela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Legal, lawtech especializada em inteligência artificial e gestão preditiva. Os dados apontam que 63% dos casos são julgados procedentes ou parcialmente procedentes pelo judiciário, obrigando o SUS a fornecer os medicamentos para tratamento de saúde dos pacientes.</w:t>
      </w:r>
    </w:p>
    <w:p w14:paraId="00000005" w14:textId="77777777" w:rsidR="00A74DCD" w:rsidRDefault="00A7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levantamento foram consideradas todas as ações em tramitação em primeira e segunda instâncias entre 2018 e 2022, para o fornecimento gratuito de medicamentos 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contemplados nos Protocolos Clínicos e Diretrizes Terapêuticas (PCDT) do SUS ou na Relação Nacional de Medicamentos Essenciais (RENAME). Os fármacos solicitados são diversos, mas no levantamento realizado entre os mais recorrentes estão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Ranibizumabe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Tamoxifeno,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Venlafaxina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Depakote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A74DCD" w:rsidRDefault="00A74D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“O estudo não contempla as ações que tramitam em segredo de justiça, mas a partir de uma base de dados com cerca de 200 milhões de processos, utilizamos tecnologias como Big Data e Inteligência Artificial para extrair essas informações dos dados públicos do judiciário e conhecer melhor as demandas da sociedade em relação ao tema”, explica Vanessa Louzada, CEO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Legal.</w:t>
      </w:r>
    </w:p>
    <w:p w14:paraId="00000009" w14:textId="77777777" w:rsidR="00A74DCD" w:rsidRDefault="00A7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os dados, 45% dos processos julgados em 1º grau possuem recursos para a instância superior,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incluir a União no polo passivo, </w:t>
      </w:r>
      <w:r>
        <w:rPr>
          <w:rFonts w:ascii="Times New Roman" w:eastAsia="Times New Roman" w:hAnsi="Times New Roman" w:cs="Times New Roman"/>
          <w:sz w:val="24"/>
          <w:szCs w:val="24"/>
        </w:rPr>
        <w:t>e por isso estão sujeitos ao duplo grau de jurisdição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com a necessidade de confirmação da sentença pelo Tribunal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B" w14:textId="77777777" w:rsidR="00A74DCD" w:rsidRDefault="00A7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todas as ações requerendo o fornecimento de medicamentos pelo SUS no período, 37% foram julgadas improcedentes ou extintas, segundo o levantamento. Entre os principais motivos estão: ausência de demonstração de ineficácia dos fármacos já disponibilizados pelo SUS; ausência de comprovação da necessidade do medicamento ou da ineficácia do tratamento com medicamentos fornecidos pelo SUS, por meio de laudo médico que declare que o fármaco pleiteado é imprescindível para a saúde do paciente; não comprovação da incapacidade financeira do paciente para arcar com o custo do medicamento prescrito; e a ausência de existência de registro do medicamento na Agência Nacional de Vigilância Sanitária (Anvisa).</w:t>
      </w:r>
    </w:p>
    <w:p w14:paraId="0000000D" w14:textId="77777777" w:rsidR="00A74DCD" w:rsidRDefault="00A7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908A83E" w:rsidR="00A74DCD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“Observamos que o ano de 2021 bateu recorde no volume de ações requerendo o fornecimento de medicamentos pelo SUS, com 3.862 novos processos. Em 2018 foram 2.474, em 2019 teve uma pequena elevação para 2.633, e em 2020 foram 2.670. No ano passado, houve uma redução, com 2.275 ações protocoladas no país. Para 2023, a tendência é fechar o ano com elevação no número de pedidos, já que somente nos seis primeiros meses (até 10 de julho) foram registrados 1.806 processos em todo o Brasil”, destaca Vanessa Louzada.</w:t>
      </w:r>
    </w:p>
    <w:p w14:paraId="0000000F" w14:textId="77777777" w:rsidR="00A74DCD" w:rsidRDefault="00A7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 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 Legal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   </w:t>
      </w:r>
    </w:p>
    <w:p w14:paraId="00000011" w14:textId="77777777" w:rsidR="00A74DC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 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 Legal é uma Lawtech de inteligência artificial e gestão preditiva. Utiliza sofisticadas técnicas estatísticas e avançadas tecnologias como ferramentas de Big Data, 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 Learning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 Inteligência Artificial para coletar dados, normalizá-los e transformá-los em informação consistente a fim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criar uma nova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 Legal ajuda a decodificar “dados” em insights estruturados e relevantes que se transformam em decisões estratégicas, inteligentes com geração de valor para o seu negócio. 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   </w:t>
      </w:r>
    </w:p>
    <w:p w14:paraId="00000012" w14:textId="77777777" w:rsidR="00A74DCD" w:rsidRDefault="00A74DCD">
      <w:pPr>
        <w:rPr>
          <w:sz w:val="24"/>
          <w:szCs w:val="24"/>
        </w:rPr>
      </w:pPr>
    </w:p>
    <w:sectPr w:rsidR="00A74D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CD"/>
    <w:rsid w:val="0093151C"/>
    <w:rsid w:val="00A74DCD"/>
    <w:rsid w:val="00E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E3BF-4C31-4CBD-B7D1-79BAB503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6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kfWNMyLwp2orlXigmPqf9HH0cQ==">CgMxLjA4AHIhMTc1UXdvczlXVE95MWFmVXYxTmlkTE5HY2x4cGU5VDRJ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2023-09-01T16:04:00Z</dcterms:created>
  <dcterms:modified xsi:type="dcterms:W3CDTF">2023-09-06T12:31:00Z</dcterms:modified>
</cp:coreProperties>
</file>