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7311C" w14:textId="4101A5F2" w:rsidR="00363FB6" w:rsidRPr="002957EA" w:rsidRDefault="00363FB6" w:rsidP="002957EA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957EA">
        <w:rPr>
          <w:rFonts w:ascii="Times New Roman" w:hAnsi="Times New Roman" w:cs="Times New Roman"/>
          <w:b/>
          <w:bCs/>
          <w:sz w:val="24"/>
          <w:szCs w:val="24"/>
        </w:rPr>
        <w:t>Mercado de implementos rodoviários</w:t>
      </w:r>
      <w:r w:rsidR="002957EA" w:rsidRPr="002957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57EA">
        <w:rPr>
          <w:rFonts w:ascii="Times New Roman" w:hAnsi="Times New Roman" w:cs="Times New Roman"/>
          <w:b/>
          <w:bCs/>
          <w:sz w:val="24"/>
          <w:szCs w:val="24"/>
        </w:rPr>
        <w:t xml:space="preserve">deve crescer </w:t>
      </w:r>
      <w:r w:rsidR="002957EA">
        <w:rPr>
          <w:rFonts w:ascii="Times New Roman" w:hAnsi="Times New Roman" w:cs="Times New Roman"/>
          <w:b/>
          <w:bCs/>
          <w:sz w:val="24"/>
          <w:szCs w:val="24"/>
        </w:rPr>
        <w:t>cerca</w:t>
      </w:r>
      <w:r w:rsidRPr="002957EA">
        <w:rPr>
          <w:rFonts w:ascii="Times New Roman" w:hAnsi="Times New Roman" w:cs="Times New Roman"/>
          <w:b/>
          <w:bCs/>
          <w:sz w:val="24"/>
          <w:szCs w:val="24"/>
        </w:rPr>
        <w:t xml:space="preserve"> de 6% ao ano e abre nova janela para fusões e aquisições</w:t>
      </w:r>
    </w:p>
    <w:p w14:paraId="6493EAB1" w14:textId="77777777" w:rsidR="00363FB6" w:rsidRPr="002957EA" w:rsidRDefault="00363FB6" w:rsidP="002957EA">
      <w:pPr>
        <w:pStyle w:val="SemEspaamen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957EA">
        <w:rPr>
          <w:rFonts w:ascii="Times New Roman" w:hAnsi="Times New Roman" w:cs="Times New Roman"/>
          <w:i/>
          <w:iCs/>
          <w:sz w:val="24"/>
          <w:szCs w:val="24"/>
        </w:rPr>
        <w:t>Recuperação dos emplacamentos, exportações em alta e cadeia fragmentada ampliam o interesse de compradores estratégicos e investidores financeiros</w:t>
      </w:r>
    </w:p>
    <w:p w14:paraId="50AB3E85" w14:textId="77777777" w:rsid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99F7B52" w14:textId="67520589" w:rsidR="00363FB6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>O mercado brasileiro de implementos rodoviários deve crescer, em média, aproximadamente 6% ao ano até 2030. A projeção é da Redirection International, empresa especializada em assessoria de fusões e aquisições, e considera a expectativa de renovação da frota de caminhões, a manutenção da atividade do agronegócio em níveis robustos e os investimentos em infraestrutura e logística, além da perspectiva de redução das taxas de juros.</w:t>
      </w:r>
    </w:p>
    <w:p w14:paraId="228D523C" w14:textId="77777777" w:rsidR="002957EA" w:rsidRP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64AA54D" w14:textId="77777777" w:rsidR="00363FB6" w:rsidRPr="002957EA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>De acordo com a Associação Nacional dos Fabricantes de Implementos Rodoviários (ANFIR), o setor vem se recuperando de forma gradual ao longo de 2026. Depois de encerrar 2025 com 149.206 unidades emplacadas, queda de 6,3% ante 2024, o mercado somou 95.513 unidades entre janeiro e agosto de 2026, retração de 2,7% na comparação anual. A retração acumulada, que havia chegado a 13,7% no primeiro trimestre, recuou para 4,8% em julho e 2,7% em agosto, indicando melhora gradual dos volumes ao longo do ano.</w:t>
      </w:r>
    </w:p>
    <w:p w14:paraId="52C8CF8B" w14:textId="77777777" w:rsid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5BDD304" w14:textId="22989640" w:rsidR="00363FB6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>“A perspectiva é reforçada por vetores estruturais. A safra 2025/26 foi estimada em 360,8 milhões de toneladas, alta de 2,4%, e a frota nacional de 2,28 milhões de caminhões tem idade média de 12 anos e 3 meses, acumulando demanda potencial por renovação. Ao mesmo tempo, a redução gradual do custo do crédito e o programa Move Brasil 2, com R$ 21,2 bilhões em recursos e implementos entre os itens financiáveis, podem estimular novos pedidos”, explica o economista Adam Patterson, sócio da Redirection International.</w:t>
      </w:r>
    </w:p>
    <w:p w14:paraId="29791CF7" w14:textId="77777777" w:rsidR="002957EA" w:rsidRP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E54FD85" w14:textId="41BA2897" w:rsidR="00363FB6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 xml:space="preserve">Ele explica que outros fatores, como o aumento das exportações e o ambiente regulatório, também </w:t>
      </w:r>
      <w:r w:rsidR="002957EA">
        <w:rPr>
          <w:rFonts w:ascii="Times New Roman" w:hAnsi="Times New Roman" w:cs="Times New Roman"/>
          <w:sz w:val="24"/>
          <w:szCs w:val="24"/>
        </w:rPr>
        <w:t>contribuem</w:t>
      </w:r>
      <w:r w:rsidRPr="002957EA">
        <w:rPr>
          <w:rFonts w:ascii="Times New Roman" w:hAnsi="Times New Roman" w:cs="Times New Roman"/>
          <w:sz w:val="24"/>
          <w:szCs w:val="24"/>
        </w:rPr>
        <w:t xml:space="preserve"> para a retomada do setor e abr</w:t>
      </w:r>
      <w:r w:rsidR="002957EA">
        <w:rPr>
          <w:rFonts w:ascii="Times New Roman" w:hAnsi="Times New Roman" w:cs="Times New Roman"/>
          <w:sz w:val="24"/>
          <w:szCs w:val="24"/>
        </w:rPr>
        <w:t>em</w:t>
      </w:r>
      <w:r w:rsidRPr="002957EA">
        <w:rPr>
          <w:rFonts w:ascii="Times New Roman" w:hAnsi="Times New Roman" w:cs="Times New Roman"/>
          <w:sz w:val="24"/>
          <w:szCs w:val="24"/>
        </w:rPr>
        <w:t xml:space="preserve"> uma nova janela para fusões e aquisições. Segundo o levantamento, o mercado é relativamente concentrado entre os fabricantes de implementos, sendo que os cinco maiores respondem por cerca de 73% dos emplacamentos, mas permanece mais pulverizado nas áreas de componentes, acessórios, amarração, elevação e nichos especializados.</w:t>
      </w:r>
    </w:p>
    <w:p w14:paraId="1DAFFA26" w14:textId="77777777" w:rsidR="002957EA" w:rsidRP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0D8EB295" w14:textId="08CA2884" w:rsidR="00363FB6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>“</w:t>
      </w:r>
      <w:r w:rsidR="002957EA">
        <w:rPr>
          <w:rFonts w:ascii="Times New Roman" w:hAnsi="Times New Roman" w:cs="Times New Roman"/>
          <w:sz w:val="24"/>
          <w:szCs w:val="24"/>
        </w:rPr>
        <w:t>A</w:t>
      </w:r>
      <w:r w:rsidRPr="002957EA">
        <w:rPr>
          <w:rFonts w:ascii="Times New Roman" w:hAnsi="Times New Roman" w:cs="Times New Roman"/>
          <w:sz w:val="24"/>
          <w:szCs w:val="24"/>
        </w:rPr>
        <w:t xml:space="preserve"> consolidação tende a ocorrer principalmente na cadeia de fornecimento, e não entre os líderes. Os fabricantes buscam verticalização, internalização de margem, novos produtos e acesso ao mercado de reposição, ao mesmo tempo em que grupos globais procuram plataformas de entrada ou expansão no Brasil e no Mercosul. Além disso, investidores financeiros encontram espaço para estratégias de </w:t>
      </w:r>
      <w:r w:rsidRPr="002957EA">
        <w:rPr>
          <w:rFonts w:ascii="Times New Roman" w:hAnsi="Times New Roman" w:cs="Times New Roman"/>
          <w:i/>
          <w:iCs/>
          <w:sz w:val="24"/>
          <w:szCs w:val="24"/>
        </w:rPr>
        <w:t>buy-and-build</w:t>
      </w:r>
      <w:r w:rsidRPr="002957EA">
        <w:rPr>
          <w:rFonts w:ascii="Times New Roman" w:hAnsi="Times New Roman" w:cs="Times New Roman"/>
          <w:sz w:val="24"/>
          <w:szCs w:val="24"/>
        </w:rPr>
        <w:t xml:space="preserve"> em nichos ainda sem consolidador estabelecido, sobretudo no </w:t>
      </w:r>
      <w:r w:rsidRPr="002957EA">
        <w:rPr>
          <w:rFonts w:ascii="Times New Roman" w:hAnsi="Times New Roman" w:cs="Times New Roman"/>
          <w:i/>
          <w:iCs/>
          <w:sz w:val="24"/>
          <w:szCs w:val="24"/>
        </w:rPr>
        <w:t>middle market</w:t>
      </w:r>
      <w:r w:rsidRPr="002957EA">
        <w:rPr>
          <w:rFonts w:ascii="Times New Roman" w:hAnsi="Times New Roman" w:cs="Times New Roman"/>
          <w:sz w:val="24"/>
          <w:szCs w:val="24"/>
        </w:rPr>
        <w:t>”, diz Patterson.</w:t>
      </w:r>
    </w:p>
    <w:p w14:paraId="47C6551D" w14:textId="77777777" w:rsidR="002957EA" w:rsidRP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665BABF" w14:textId="77777777" w:rsidR="00363FB6" w:rsidRPr="002957EA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t>Adam Patterson destaca que, para empresários e controladores, o momento exige preparação. À medida que a recuperação começa a aparecer nos dados mais recentes do mercado, tende a diminuir a assimetria entre ativos ainda avaliados sobre um ciclo deprimido e perspectivas mais favoráveis. Empresas com informações financeiras consistentes, capacidade industrial, canais de distribuição, exposição ao mercado de reposição e uma tese clara de crescimento estarão mais bem posicionadas para atrair compradores e negociar valor.</w:t>
      </w:r>
    </w:p>
    <w:p w14:paraId="77BA0933" w14:textId="77777777" w:rsidR="00363FB6" w:rsidRDefault="00363FB6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957EA">
        <w:rPr>
          <w:rFonts w:ascii="Times New Roman" w:hAnsi="Times New Roman" w:cs="Times New Roman"/>
          <w:sz w:val="24"/>
          <w:szCs w:val="24"/>
        </w:rPr>
        <w:lastRenderedPageBreak/>
        <w:t>“O mercado brasileiro de implementos rodoviários reúne fundamentos favoráveis para uma nova agenda de M&amp;A. A renovação da frota, o agronegócio, os investimentos em construção e infraestrutura e o avanço das exportações sustentam uma perspectiva de recuperação e diversificam a demanda. Com 95,5 mil unidades emplacadas até agosto e alta de 17,7% nas exportações até julho, vemos espaço para maior consolidação, sobretudo por compradores em busca de escala, portfólio, capacidade industrial e posicionamento competitivo”, conclui Patterson.</w:t>
      </w:r>
    </w:p>
    <w:p w14:paraId="30CFD515" w14:textId="77777777" w:rsidR="002957EA" w:rsidRPr="002957EA" w:rsidRDefault="002957EA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9A75C00" w14:textId="77777777" w:rsidR="00363FB6" w:rsidRPr="002957EA" w:rsidRDefault="00363FB6" w:rsidP="002957EA">
      <w:pPr>
        <w:pStyle w:val="SemEspaamento"/>
        <w:jc w:val="both"/>
        <w:rPr>
          <w:rFonts w:ascii="Times New Roman" w:hAnsi="Times New Roman" w:cs="Times New Roman"/>
          <w:b/>
          <w:bCs/>
        </w:rPr>
      </w:pPr>
      <w:r w:rsidRPr="002957EA">
        <w:rPr>
          <w:rFonts w:ascii="Times New Roman" w:hAnsi="Times New Roman" w:cs="Times New Roman"/>
          <w:b/>
          <w:bCs/>
        </w:rPr>
        <w:t>Sobre a Redirection International</w:t>
      </w:r>
    </w:p>
    <w:p w14:paraId="24816CA7" w14:textId="77777777" w:rsidR="00363FB6" w:rsidRPr="002957EA" w:rsidRDefault="00363FB6" w:rsidP="002957EA">
      <w:pPr>
        <w:pStyle w:val="SemEspaamento"/>
        <w:jc w:val="both"/>
        <w:rPr>
          <w:rFonts w:ascii="Times New Roman" w:hAnsi="Times New Roman" w:cs="Times New Roman"/>
        </w:rPr>
      </w:pPr>
      <w:r w:rsidRPr="002957EA">
        <w:rPr>
          <w:rFonts w:ascii="Times New Roman" w:hAnsi="Times New Roman" w:cs="Times New Roman"/>
        </w:rPr>
        <w:t xml:space="preserve">A </w:t>
      </w:r>
      <w:hyperlink r:id="rId4">
        <w:r w:rsidRPr="002957EA">
          <w:rPr>
            <w:rFonts w:ascii="Times New Roman" w:hAnsi="Times New Roman" w:cs="Times New Roman"/>
          </w:rPr>
          <w:t>Redirection International</w:t>
        </w:r>
      </w:hyperlink>
      <w:r w:rsidRPr="002957EA">
        <w:rPr>
          <w:rFonts w:ascii="Times New Roman" w:hAnsi="Times New Roman" w:cs="Times New Roman"/>
        </w:rPr>
        <w:t xml:space="preserve"> é especializada em assessoria de Fusões &amp; Aquisições para empresas locais e internacionais, em transações de middle market. Possui uma grande experiência em transações cross-border, com equipe atuante diretamente no Brasil, América Latina, Estados Unidos e Reino Unido. É membro da ACG e desenvolve uma rede de parceiros selecionados em todos os principais setores de negócios e regiões do mundo. Para saber mais sobre a solução de preparação de empresas para M&amp;A, entre em contato pelo info@redirection.com.br</w:t>
      </w:r>
    </w:p>
    <w:p w14:paraId="5186E066" w14:textId="77777777" w:rsidR="00185D03" w:rsidRPr="002957EA" w:rsidRDefault="00185D03" w:rsidP="002957E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sectPr w:rsidR="00185D03" w:rsidRPr="00295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B6"/>
    <w:rsid w:val="00185D03"/>
    <w:rsid w:val="002957EA"/>
    <w:rsid w:val="002A056D"/>
    <w:rsid w:val="00363FB6"/>
    <w:rsid w:val="00396379"/>
    <w:rsid w:val="00AC2CF1"/>
    <w:rsid w:val="00CF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C2DF"/>
  <w15:chartTrackingRefBased/>
  <w15:docId w15:val="{6CE3DDAD-9853-47BD-8812-87FDD2DC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63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63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63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63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63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63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63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63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63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63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63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63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63F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63FB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63F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63FB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63F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63F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63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63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63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63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63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63FB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63FB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63FB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63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63FB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63FB6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2957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direction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683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Patterson</dc:creator>
  <cp:keywords/>
  <dc:description/>
  <cp:lastModifiedBy>Karina Lançoni Bernardi</cp:lastModifiedBy>
  <cp:revision>4</cp:revision>
  <dcterms:created xsi:type="dcterms:W3CDTF">2026-09-24T14:07:00Z</dcterms:created>
  <dcterms:modified xsi:type="dcterms:W3CDTF">2026-09-24T14:08:00Z</dcterms:modified>
</cp:coreProperties>
</file>