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B6AD6" w14:textId="278C1265" w:rsidR="00560BA5" w:rsidRPr="009A5043" w:rsidRDefault="009A5043" w:rsidP="0054347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5043">
        <w:rPr>
          <w:rFonts w:ascii="Times New Roman" w:hAnsi="Times New Roman" w:cs="Times New Roman"/>
          <w:b/>
          <w:bCs/>
          <w:sz w:val="24"/>
          <w:szCs w:val="24"/>
        </w:rPr>
        <w:t xml:space="preserve">Fusões </w:t>
      </w:r>
      <w:r w:rsidR="001D7993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9A5043">
        <w:rPr>
          <w:rFonts w:ascii="Times New Roman" w:hAnsi="Times New Roman" w:cs="Times New Roman"/>
          <w:b/>
          <w:bCs/>
          <w:sz w:val="24"/>
          <w:szCs w:val="24"/>
        </w:rPr>
        <w:t xml:space="preserve"> Aquisições devem crescer entre 10 e 15% em 2024 no Brasil</w:t>
      </w:r>
    </w:p>
    <w:p w14:paraId="3BF7EAC0" w14:textId="0C552A67" w:rsidR="009A5043" w:rsidRPr="009A5043" w:rsidRDefault="001D7993" w:rsidP="0054347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Depois de registrar recorde em 2021</w:t>
      </w:r>
      <w:r w:rsidR="009E4B08">
        <w:rPr>
          <w:rFonts w:ascii="Times New Roman" w:hAnsi="Times New Roman" w:cs="Times New Roman"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atividades de M&amp;A </w:t>
      </w:r>
      <w:r w:rsidR="0014293D">
        <w:rPr>
          <w:rFonts w:ascii="Times New Roman" w:hAnsi="Times New Roman" w:cs="Times New Roman"/>
          <w:i/>
          <w:iCs/>
          <w:sz w:val="24"/>
          <w:szCs w:val="24"/>
        </w:rPr>
        <w:t xml:space="preserve">recuaram </w:t>
      </w:r>
      <w:r>
        <w:rPr>
          <w:rFonts w:ascii="Times New Roman" w:hAnsi="Times New Roman" w:cs="Times New Roman"/>
          <w:i/>
          <w:iCs/>
          <w:sz w:val="24"/>
          <w:szCs w:val="24"/>
        </w:rPr>
        <w:t>nos últimos dois anos</w:t>
      </w:r>
      <w:r w:rsidR="00543471">
        <w:rPr>
          <w:rFonts w:ascii="Times New Roman" w:hAnsi="Times New Roman" w:cs="Times New Roman"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941CC">
        <w:rPr>
          <w:rFonts w:ascii="Times New Roman" w:hAnsi="Times New Roman" w:cs="Times New Roman"/>
          <w:i/>
          <w:iCs/>
          <w:sz w:val="24"/>
          <w:szCs w:val="24"/>
        </w:rPr>
        <w:t>mas</w:t>
      </w:r>
      <w:r w:rsidR="006D49C1">
        <w:rPr>
          <w:rFonts w:ascii="Times New Roman" w:hAnsi="Times New Roman" w:cs="Times New Roman"/>
          <w:i/>
          <w:iCs/>
          <w:sz w:val="24"/>
          <w:szCs w:val="24"/>
        </w:rPr>
        <w:t xml:space="preserve"> voltarão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a crescer em 2024</w:t>
      </w:r>
      <w:r w:rsidR="009A5043" w:rsidRPr="00637463">
        <w:rPr>
          <w:rFonts w:ascii="Times New Roman" w:hAnsi="Times New Roman" w:cs="Times New Roman"/>
          <w:i/>
          <w:iCs/>
          <w:sz w:val="24"/>
          <w:szCs w:val="24"/>
        </w:rPr>
        <w:t xml:space="preserve"> segundo projeção da Redirection International</w:t>
      </w:r>
      <w:r w:rsidR="009941CC">
        <w:rPr>
          <w:rFonts w:ascii="Times New Roman" w:hAnsi="Times New Roman" w:cs="Times New Roman"/>
          <w:i/>
          <w:iCs/>
          <w:sz w:val="24"/>
          <w:szCs w:val="24"/>
        </w:rPr>
        <w:t>; setores de tecnologia, infraestrutura, energias renováveis e indústria farmacêutica são os que mais fecharão novos negócios</w:t>
      </w:r>
    </w:p>
    <w:p w14:paraId="0B145151" w14:textId="55DF797D" w:rsidR="001D7993" w:rsidRPr="009A5043" w:rsidRDefault="00637463" w:rsidP="009A50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Após dois anos de queda no volume de fusões e aquisições (M&amp;A), a expectativa é que as transações voltem a crescer em 2024</w:t>
      </w:r>
      <w:r w:rsidR="00CE19B1">
        <w:rPr>
          <w:rFonts w:ascii="Times New Roman" w:hAnsi="Times New Roman" w:cs="Times New Roman"/>
          <w:sz w:val="24"/>
          <w:szCs w:val="24"/>
        </w:rPr>
        <w:t>, com aumento entre 10 e 15% em relação a 2023 no Brasil</w:t>
      </w:r>
      <w:r w:rsidR="00B12F74">
        <w:rPr>
          <w:rFonts w:ascii="Times New Roman" w:hAnsi="Times New Roman" w:cs="Times New Roman"/>
          <w:sz w:val="24"/>
          <w:szCs w:val="24"/>
        </w:rPr>
        <w:t>. É o que aponta</w:t>
      </w:r>
      <w:r>
        <w:rPr>
          <w:rFonts w:ascii="Times New Roman" w:hAnsi="Times New Roman" w:cs="Times New Roman"/>
          <w:sz w:val="24"/>
          <w:szCs w:val="24"/>
        </w:rPr>
        <w:t xml:space="preserve"> uma projeção realizada pela </w:t>
      </w:r>
      <w:r w:rsidR="00CE19B1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edirection International, empresa especializada em assessoria de fusões &amp; aquisições</w:t>
      </w:r>
      <w:r w:rsidR="00B12F74">
        <w:rPr>
          <w:rFonts w:ascii="Times New Roman" w:hAnsi="Times New Roman" w:cs="Times New Roman"/>
          <w:sz w:val="24"/>
          <w:szCs w:val="24"/>
        </w:rPr>
        <w:t xml:space="preserve">, </w:t>
      </w:r>
      <w:r w:rsidR="00CE19B1">
        <w:rPr>
          <w:rFonts w:ascii="Times New Roman" w:hAnsi="Times New Roman" w:cs="Times New Roman"/>
          <w:sz w:val="24"/>
          <w:szCs w:val="24"/>
        </w:rPr>
        <w:t>com base em uma modelagem econométrica e previsões do PIB, investimento</w:t>
      </w:r>
      <w:r w:rsidR="001D7993">
        <w:rPr>
          <w:rFonts w:ascii="Times New Roman" w:hAnsi="Times New Roman" w:cs="Times New Roman"/>
          <w:sz w:val="24"/>
          <w:szCs w:val="24"/>
        </w:rPr>
        <w:t xml:space="preserve"> </w:t>
      </w:r>
      <w:r w:rsidR="00CE19B1">
        <w:rPr>
          <w:rFonts w:ascii="Times New Roman" w:hAnsi="Times New Roman" w:cs="Times New Roman"/>
          <w:sz w:val="24"/>
          <w:szCs w:val="24"/>
        </w:rPr>
        <w:t>direto e taxas de juros para este ano.</w:t>
      </w:r>
      <w:r w:rsidR="00B12F74">
        <w:rPr>
          <w:rFonts w:ascii="Times New Roman" w:hAnsi="Times New Roman" w:cs="Times New Roman"/>
          <w:sz w:val="24"/>
          <w:szCs w:val="24"/>
        </w:rPr>
        <w:t xml:space="preserve"> </w:t>
      </w:r>
      <w:r w:rsidR="001D7993">
        <w:rPr>
          <w:rFonts w:ascii="Times New Roman" w:hAnsi="Times New Roman" w:cs="Times New Roman"/>
          <w:sz w:val="24"/>
          <w:szCs w:val="24"/>
        </w:rPr>
        <w:t xml:space="preserve">O </w:t>
      </w:r>
      <w:r w:rsidR="00B12F74">
        <w:rPr>
          <w:rFonts w:ascii="Times New Roman" w:hAnsi="Times New Roman" w:cs="Times New Roman"/>
          <w:sz w:val="24"/>
          <w:szCs w:val="24"/>
        </w:rPr>
        <w:t>estudo</w:t>
      </w:r>
      <w:r w:rsidR="001D7993">
        <w:rPr>
          <w:rFonts w:ascii="Times New Roman" w:hAnsi="Times New Roman" w:cs="Times New Roman"/>
          <w:sz w:val="24"/>
          <w:szCs w:val="24"/>
        </w:rPr>
        <w:t xml:space="preserve"> leva em consideração as primeiras </w:t>
      </w:r>
      <w:r w:rsidR="00B2530D">
        <w:rPr>
          <w:rFonts w:ascii="Times New Roman" w:hAnsi="Times New Roman" w:cs="Times New Roman"/>
          <w:sz w:val="24"/>
          <w:szCs w:val="24"/>
        </w:rPr>
        <w:t>estimativas do mercado em 2023, que apontam que foram aproximadamente 1450 operações de fusões e aquisições concluídas ao longo do ano passado</w:t>
      </w:r>
      <w:r w:rsidR="0014293D">
        <w:rPr>
          <w:rFonts w:ascii="Times New Roman" w:hAnsi="Times New Roman" w:cs="Times New Roman"/>
          <w:sz w:val="24"/>
          <w:szCs w:val="24"/>
        </w:rPr>
        <w:t xml:space="preserve">, volume </w:t>
      </w:r>
      <w:r w:rsidR="00B2530D">
        <w:rPr>
          <w:rFonts w:ascii="Times New Roman" w:hAnsi="Times New Roman" w:cs="Times New Roman"/>
          <w:sz w:val="24"/>
          <w:szCs w:val="24"/>
        </w:rPr>
        <w:t xml:space="preserve">17% </w:t>
      </w:r>
      <w:r w:rsidR="0014293D">
        <w:rPr>
          <w:rFonts w:ascii="Times New Roman" w:hAnsi="Times New Roman" w:cs="Times New Roman"/>
          <w:sz w:val="24"/>
          <w:szCs w:val="24"/>
        </w:rPr>
        <w:t>menor do que em</w:t>
      </w:r>
      <w:r w:rsidR="00B2530D">
        <w:rPr>
          <w:rFonts w:ascii="Times New Roman" w:hAnsi="Times New Roman" w:cs="Times New Roman"/>
          <w:sz w:val="24"/>
          <w:szCs w:val="24"/>
        </w:rPr>
        <w:t xml:space="preserve"> 2022.</w:t>
      </w:r>
    </w:p>
    <w:p w14:paraId="6F51AEBA" w14:textId="56E4E79B" w:rsidR="00D0698A" w:rsidRPr="00777AD3" w:rsidRDefault="00B2530D" w:rsidP="009A50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“O estresse geopolítico, a inflação alta e as incertezas políticas impactaram de forma negativa o mercado de M&amp;A no Brasil nos últimos dois anos e isso após uma </w:t>
      </w:r>
      <w:r w:rsidRPr="00777AD3">
        <w:rPr>
          <w:rFonts w:ascii="Times New Roman" w:hAnsi="Times New Roman" w:cs="Times New Roman"/>
          <w:sz w:val="24"/>
          <w:szCs w:val="24"/>
        </w:rPr>
        <w:t>movimentação recorde de transações registrada em 2021. Agora</w:t>
      </w:r>
      <w:r w:rsidR="006D49C1">
        <w:rPr>
          <w:rFonts w:ascii="Times New Roman" w:hAnsi="Times New Roman" w:cs="Times New Roman"/>
          <w:sz w:val="24"/>
          <w:szCs w:val="24"/>
        </w:rPr>
        <w:t>,</w:t>
      </w:r>
      <w:r w:rsidRPr="00777AD3">
        <w:rPr>
          <w:rFonts w:ascii="Times New Roman" w:hAnsi="Times New Roman" w:cs="Times New Roman"/>
          <w:sz w:val="24"/>
          <w:szCs w:val="24"/>
        </w:rPr>
        <w:t xml:space="preserve"> seguindo uma melhora das perspectivas econômicas </w:t>
      </w:r>
      <w:r w:rsidR="00D0698A" w:rsidRPr="00777AD3">
        <w:rPr>
          <w:rFonts w:ascii="Times New Roman" w:hAnsi="Times New Roman" w:cs="Times New Roman"/>
          <w:sz w:val="24"/>
          <w:szCs w:val="24"/>
        </w:rPr>
        <w:t>local e global</w:t>
      </w:r>
      <w:r w:rsidRPr="00777AD3">
        <w:rPr>
          <w:rFonts w:ascii="Times New Roman" w:hAnsi="Times New Roman" w:cs="Times New Roman"/>
          <w:sz w:val="24"/>
          <w:szCs w:val="24"/>
        </w:rPr>
        <w:t xml:space="preserve">, </w:t>
      </w:r>
      <w:r w:rsidR="00D0698A" w:rsidRPr="00777AD3">
        <w:rPr>
          <w:rFonts w:ascii="Times New Roman" w:hAnsi="Times New Roman" w:cs="Times New Roman"/>
          <w:sz w:val="24"/>
          <w:szCs w:val="24"/>
        </w:rPr>
        <w:t xml:space="preserve">devemos alcançar em 2024 </w:t>
      </w:r>
      <w:r w:rsidRPr="00777AD3">
        <w:rPr>
          <w:rFonts w:ascii="Times New Roman" w:hAnsi="Times New Roman" w:cs="Times New Roman"/>
          <w:sz w:val="24"/>
          <w:szCs w:val="24"/>
        </w:rPr>
        <w:t>o terceiro maior resultado desde 2018</w:t>
      </w:r>
      <w:r w:rsidR="00D0698A" w:rsidRPr="00777AD3">
        <w:rPr>
          <w:rFonts w:ascii="Times New Roman" w:hAnsi="Times New Roman" w:cs="Times New Roman"/>
          <w:sz w:val="24"/>
          <w:szCs w:val="24"/>
        </w:rPr>
        <w:t>”, explica o economista Adam Patterson, sócio da Redirection International e um dos responsáveis pelo estudo.</w:t>
      </w:r>
    </w:p>
    <w:p w14:paraId="0E0A8013" w14:textId="77777777" w:rsidR="00777AD3" w:rsidRDefault="0014293D" w:rsidP="00777AD3">
      <w:pPr>
        <w:jc w:val="both"/>
        <w:rPr>
          <w:rFonts w:ascii="Times New Roman" w:hAnsi="Times New Roman" w:cs="Times New Roman"/>
          <w:sz w:val="24"/>
          <w:szCs w:val="24"/>
        </w:rPr>
      </w:pPr>
      <w:r w:rsidRPr="00777AD3">
        <w:rPr>
          <w:rFonts w:ascii="Times New Roman" w:hAnsi="Times New Roman" w:cs="Times New Roman"/>
          <w:sz w:val="24"/>
          <w:szCs w:val="24"/>
        </w:rPr>
        <w:t xml:space="preserve">O economista ressalta que apesar de ainda haver uma certa volatilidade, os indicadores macroeconômicos </w:t>
      </w:r>
      <w:r w:rsidR="00777AD3" w:rsidRPr="00777AD3">
        <w:rPr>
          <w:rFonts w:ascii="Times New Roman" w:hAnsi="Times New Roman" w:cs="Times New Roman"/>
          <w:sz w:val="24"/>
          <w:szCs w:val="24"/>
        </w:rPr>
        <w:t xml:space="preserve">como a perspectiva de redução da taxa Selic e da inflação, o crescimento econômico e aumento do consumo </w:t>
      </w:r>
      <w:r w:rsidRPr="00777AD3">
        <w:rPr>
          <w:rFonts w:ascii="Times New Roman" w:hAnsi="Times New Roman" w:cs="Times New Roman"/>
          <w:sz w:val="24"/>
          <w:szCs w:val="24"/>
        </w:rPr>
        <w:t>são favoráveis para o mercado de aquisições</w:t>
      </w:r>
      <w:r w:rsidR="00777AD3" w:rsidRPr="00777AD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FD5AC4F" w14:textId="3BB8B6F0" w:rsidR="009A5043" w:rsidRDefault="009A5043" w:rsidP="00777AD3">
      <w:pPr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777AD3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"Em 2024 </w:t>
      </w:r>
      <w:r w:rsidR="00B86340">
        <w:rPr>
          <w:rFonts w:ascii="Times New Roman" w:hAnsi="Times New Roman" w:cs="Times New Roman"/>
          <w:color w:val="000000"/>
          <w:kern w:val="0"/>
          <w:sz w:val="24"/>
          <w:szCs w:val="24"/>
        </w:rPr>
        <w:t>devemos ver</w:t>
      </w:r>
      <w:r w:rsidRPr="00777AD3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um aumento de investidores estrangeiros, </w:t>
      </w:r>
      <w:r w:rsidR="00B86340">
        <w:rPr>
          <w:rFonts w:ascii="Times New Roman" w:hAnsi="Times New Roman" w:cs="Times New Roman"/>
          <w:color w:val="000000"/>
          <w:kern w:val="0"/>
          <w:sz w:val="24"/>
          <w:szCs w:val="24"/>
        </w:rPr>
        <w:t>uma</w:t>
      </w:r>
      <w:r w:rsidRPr="00777AD3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redução nas</w:t>
      </w:r>
      <w:r w:rsidR="00777AD3" w:rsidRPr="00777AD3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Pr="00777AD3">
        <w:rPr>
          <w:rFonts w:ascii="Times New Roman" w:hAnsi="Times New Roman" w:cs="Times New Roman"/>
          <w:color w:val="000000"/>
          <w:kern w:val="0"/>
          <w:sz w:val="24"/>
          <w:szCs w:val="24"/>
        </w:rPr>
        <w:t>taxas de juros e um crescimento contínuo na Bovespa</w:t>
      </w:r>
      <w:r w:rsidR="00B8634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, </w:t>
      </w:r>
      <w:r w:rsidR="00777AD3" w:rsidRPr="00777AD3">
        <w:rPr>
          <w:rFonts w:ascii="Times New Roman" w:hAnsi="Times New Roman" w:cs="Times New Roman"/>
          <w:color w:val="000000"/>
          <w:kern w:val="0"/>
          <w:sz w:val="24"/>
          <w:szCs w:val="24"/>
        </w:rPr>
        <w:t>com o aumento das operações de IPO</w:t>
      </w:r>
      <w:r w:rsidRPr="00777AD3">
        <w:rPr>
          <w:rFonts w:ascii="Times New Roman" w:hAnsi="Times New Roman" w:cs="Times New Roman"/>
          <w:color w:val="000000"/>
          <w:kern w:val="0"/>
          <w:sz w:val="24"/>
          <w:szCs w:val="24"/>
        </w:rPr>
        <w:t>, o que deve</w:t>
      </w:r>
      <w:r w:rsidR="00777AD3" w:rsidRPr="00777AD3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Pr="00777AD3">
        <w:rPr>
          <w:rFonts w:ascii="Times New Roman" w:hAnsi="Times New Roman" w:cs="Times New Roman"/>
          <w:color w:val="000000"/>
          <w:kern w:val="0"/>
          <w:sz w:val="24"/>
          <w:szCs w:val="24"/>
        </w:rPr>
        <w:t>impulsionar o cenário de M&amp;A"</w:t>
      </w:r>
      <w:r w:rsidR="00777AD3" w:rsidRPr="00777AD3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, destaca Adam Patterson ao lembrar que os </w:t>
      </w:r>
      <w:r w:rsidRPr="00777AD3">
        <w:rPr>
          <w:rFonts w:ascii="Times New Roman" w:hAnsi="Times New Roman" w:cs="Times New Roman"/>
          <w:color w:val="000000"/>
          <w:kern w:val="0"/>
          <w:sz w:val="24"/>
          <w:szCs w:val="24"/>
        </w:rPr>
        <w:t>valuations dos ativos listados no Brasil</w:t>
      </w:r>
      <w:r w:rsidR="00777AD3" w:rsidRPr="00777AD3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Pr="00777AD3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cresceram cerca de 25% em 2023. </w:t>
      </w:r>
      <w:r w:rsidR="00777AD3" w:rsidRPr="00777AD3">
        <w:rPr>
          <w:rFonts w:ascii="Times New Roman" w:hAnsi="Times New Roman" w:cs="Times New Roman"/>
          <w:color w:val="000000"/>
          <w:kern w:val="0"/>
          <w:sz w:val="24"/>
          <w:szCs w:val="24"/>
        </w:rPr>
        <w:t>“</w:t>
      </w:r>
      <w:r w:rsidRPr="00777AD3">
        <w:rPr>
          <w:rFonts w:ascii="Times New Roman" w:hAnsi="Times New Roman" w:cs="Times New Roman"/>
          <w:color w:val="000000"/>
          <w:kern w:val="0"/>
          <w:sz w:val="24"/>
          <w:szCs w:val="24"/>
        </w:rPr>
        <w:t>Essa tendência de estabilização ajudou a</w:t>
      </w:r>
      <w:r w:rsidR="00777AD3" w:rsidRPr="00777AD3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Pr="00777AD3">
        <w:rPr>
          <w:rFonts w:ascii="Times New Roman" w:hAnsi="Times New Roman" w:cs="Times New Roman"/>
          <w:color w:val="000000"/>
          <w:kern w:val="0"/>
          <w:sz w:val="24"/>
          <w:szCs w:val="24"/>
        </w:rPr>
        <w:t>aumentar a confiança dos investidores, o alinhamento de preços com os proprietários das</w:t>
      </w:r>
      <w:r w:rsidR="00777AD3" w:rsidRPr="00777AD3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Pr="00777AD3">
        <w:rPr>
          <w:rFonts w:ascii="Times New Roman" w:hAnsi="Times New Roman" w:cs="Times New Roman"/>
          <w:color w:val="000000"/>
          <w:kern w:val="0"/>
          <w:sz w:val="24"/>
          <w:szCs w:val="24"/>
        </w:rPr>
        <w:t>empresas, bem como a fortalecer a posição financeira de empresas maiores para adquirir</w:t>
      </w:r>
      <w:r w:rsidR="00777AD3" w:rsidRPr="00777AD3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novos </w:t>
      </w:r>
      <w:r w:rsidRPr="00777AD3">
        <w:rPr>
          <w:rFonts w:ascii="Times New Roman" w:hAnsi="Times New Roman" w:cs="Times New Roman"/>
          <w:color w:val="000000"/>
          <w:kern w:val="0"/>
          <w:sz w:val="24"/>
          <w:szCs w:val="24"/>
        </w:rPr>
        <w:t>ativos"</w:t>
      </w:r>
      <w:r w:rsidR="00777AD3" w:rsidRPr="00777AD3">
        <w:rPr>
          <w:rFonts w:ascii="Times New Roman" w:hAnsi="Times New Roman" w:cs="Times New Roman"/>
          <w:color w:val="000000"/>
          <w:kern w:val="0"/>
          <w:sz w:val="24"/>
          <w:szCs w:val="24"/>
        </w:rPr>
        <w:t>, complementa.</w:t>
      </w:r>
    </w:p>
    <w:p w14:paraId="18034B75" w14:textId="1F93D08E" w:rsidR="009941CC" w:rsidRDefault="00777AD3" w:rsidP="00777AD3">
      <w:pPr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Seguindo a tendência do mercado global, os setores que mais devem movimentar </w:t>
      </w:r>
      <w:r w:rsidR="00C352EA">
        <w:rPr>
          <w:rFonts w:ascii="Times New Roman" w:hAnsi="Times New Roman" w:cs="Times New Roman"/>
          <w:color w:val="000000"/>
          <w:kern w:val="0"/>
          <w:sz w:val="24"/>
          <w:szCs w:val="24"/>
        </w:rPr>
        <w:t>as atividades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de fusões e aquisições no Brasil em 2024 são o de tecnologia, infraestrutura, energias renováveis e da indústria farmacêutica. O estudo da Redirection aponta ainda para uma maior </w:t>
      </w:r>
      <w:r w:rsidR="00C352EA">
        <w:rPr>
          <w:rFonts w:ascii="Times New Roman" w:hAnsi="Times New Roman" w:cs="Times New Roman"/>
          <w:color w:val="000000"/>
          <w:kern w:val="0"/>
          <w:sz w:val="24"/>
          <w:szCs w:val="24"/>
        </w:rPr>
        <w:t>presença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das empresas de médio porte (</w:t>
      </w:r>
      <w:r w:rsidR="00ED1895">
        <w:rPr>
          <w:rFonts w:ascii="Times New Roman" w:hAnsi="Times New Roman" w:cs="Times New Roman"/>
          <w:color w:val="000000"/>
          <w:kern w:val="0"/>
          <w:sz w:val="24"/>
          <w:szCs w:val="24"/>
        </w:rPr>
        <w:t>Middle</w:t>
      </w:r>
      <w:r w:rsidR="00C352EA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market) no volume total de transações e destaca que entre 2021 e 2023, elas aum</w:t>
      </w:r>
      <w:r w:rsidR="009941CC">
        <w:rPr>
          <w:rFonts w:ascii="Times New Roman" w:hAnsi="Times New Roman" w:cs="Times New Roman"/>
          <w:color w:val="000000"/>
          <w:kern w:val="0"/>
          <w:sz w:val="24"/>
          <w:szCs w:val="24"/>
        </w:rPr>
        <w:t>entaram em 60% a sua participação no mercado de M&amp;A, respondendo atualmente por cerca de 20% dos valores transacionados no país.</w:t>
      </w:r>
    </w:p>
    <w:p w14:paraId="6359E703" w14:textId="77777777" w:rsidR="006029D9" w:rsidRPr="00731CE4" w:rsidRDefault="006029D9" w:rsidP="006029D9">
      <w:pPr>
        <w:pStyle w:val="NormalWeb"/>
        <w:jc w:val="both"/>
        <w:rPr>
          <w:rStyle w:val="Forte"/>
          <w:rFonts w:eastAsiaTheme="majorEastAsia"/>
          <w:sz w:val="22"/>
          <w:szCs w:val="22"/>
        </w:rPr>
      </w:pPr>
      <w:r w:rsidRPr="00731CE4">
        <w:rPr>
          <w:rStyle w:val="Forte"/>
          <w:rFonts w:eastAsiaTheme="majorEastAsia"/>
          <w:sz w:val="22"/>
          <w:szCs w:val="22"/>
        </w:rPr>
        <w:t>Sobre a Redirection International</w:t>
      </w:r>
    </w:p>
    <w:p w14:paraId="0B0056CE" w14:textId="77777777" w:rsidR="006029D9" w:rsidRPr="00501E8A" w:rsidRDefault="006029D9" w:rsidP="006029D9">
      <w:pPr>
        <w:pStyle w:val="NormalWeb"/>
        <w:jc w:val="both"/>
        <w:rPr>
          <w:sz w:val="22"/>
          <w:szCs w:val="22"/>
        </w:rPr>
      </w:pPr>
      <w:r w:rsidRPr="00731CE4">
        <w:rPr>
          <w:sz w:val="22"/>
          <w:szCs w:val="22"/>
        </w:rPr>
        <w:t xml:space="preserve">A Redirection é especializada em assessoria de Fusões &amp; Aquisições para empresas locais e internacionais, em transações de </w:t>
      </w:r>
      <w:r w:rsidRPr="00731CE4">
        <w:rPr>
          <w:rStyle w:val="nfase"/>
          <w:rFonts w:eastAsiaTheme="majorEastAsia"/>
          <w:sz w:val="22"/>
          <w:szCs w:val="22"/>
        </w:rPr>
        <w:t>middle market</w:t>
      </w:r>
      <w:r w:rsidRPr="00731CE4">
        <w:rPr>
          <w:sz w:val="22"/>
          <w:szCs w:val="22"/>
        </w:rPr>
        <w:t xml:space="preserve">. Possui uma grande experiência em transações </w:t>
      </w:r>
      <w:r w:rsidRPr="00731CE4">
        <w:rPr>
          <w:rStyle w:val="nfase"/>
          <w:rFonts w:eastAsiaTheme="majorEastAsia"/>
          <w:sz w:val="22"/>
          <w:szCs w:val="22"/>
        </w:rPr>
        <w:t>cross-border</w:t>
      </w:r>
      <w:r w:rsidRPr="00731CE4">
        <w:rPr>
          <w:sz w:val="22"/>
          <w:szCs w:val="22"/>
        </w:rPr>
        <w:t xml:space="preserve">, com equipe atuante diretamente no Brasil, América Latina, Estados Unidos e Reino </w:t>
      </w:r>
      <w:r w:rsidRPr="00731CE4">
        <w:rPr>
          <w:sz w:val="22"/>
          <w:szCs w:val="22"/>
        </w:rPr>
        <w:lastRenderedPageBreak/>
        <w:t>Unido. É membro da ACG e, também, desenvolve uma rede de parceiros selecionados em todos os principais setores de negócios e regiões do mundo.  </w:t>
      </w:r>
      <w:hyperlink r:id="rId4" w:history="1">
        <w:r w:rsidRPr="00731CE4">
          <w:rPr>
            <w:rStyle w:val="Hyperlink"/>
            <w:rFonts w:eastAsiaTheme="majorEastAsia"/>
            <w:sz w:val="22"/>
            <w:szCs w:val="22"/>
          </w:rPr>
          <w:t>https://www.redirection.com.br/</w:t>
        </w:r>
      </w:hyperlink>
    </w:p>
    <w:p w14:paraId="694C65F7" w14:textId="77777777" w:rsidR="009941CC" w:rsidRDefault="009941CC" w:rsidP="00777AD3">
      <w:pPr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sectPr w:rsidR="009941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043"/>
    <w:rsid w:val="0014293D"/>
    <w:rsid w:val="001D7993"/>
    <w:rsid w:val="00543471"/>
    <w:rsid w:val="00560BA5"/>
    <w:rsid w:val="006029D9"/>
    <w:rsid w:val="00637463"/>
    <w:rsid w:val="006D49C1"/>
    <w:rsid w:val="00777AD3"/>
    <w:rsid w:val="00980431"/>
    <w:rsid w:val="009941CC"/>
    <w:rsid w:val="009A5043"/>
    <w:rsid w:val="009E4B08"/>
    <w:rsid w:val="00AA6840"/>
    <w:rsid w:val="00B12F74"/>
    <w:rsid w:val="00B2530D"/>
    <w:rsid w:val="00B86340"/>
    <w:rsid w:val="00C226B7"/>
    <w:rsid w:val="00C352EA"/>
    <w:rsid w:val="00CE176C"/>
    <w:rsid w:val="00CE19B1"/>
    <w:rsid w:val="00D0698A"/>
    <w:rsid w:val="00ED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C097D"/>
  <w15:chartTrackingRefBased/>
  <w15:docId w15:val="{BE8898E2-129F-4A41-B83B-658C9FFBC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9A504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A504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A504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A504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A504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9A504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9A504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9A504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9A504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A504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A504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A504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A5043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9A5043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9A5043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9A5043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9A5043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9A5043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9A504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9A50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9A504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9A504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9A504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9A5043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9A5043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9A5043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9A504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9A5043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9A5043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unhideWhenUsed/>
    <w:rsid w:val="00602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Hyperlink">
    <w:name w:val="Hyperlink"/>
    <w:basedOn w:val="Fontepargpadro"/>
    <w:uiPriority w:val="99"/>
    <w:semiHidden/>
    <w:unhideWhenUsed/>
    <w:rsid w:val="006029D9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029D9"/>
    <w:rPr>
      <w:b/>
      <w:bCs/>
    </w:rPr>
  </w:style>
  <w:style w:type="character" w:styleId="nfase">
    <w:name w:val="Emphasis"/>
    <w:basedOn w:val="Fontepargpadro"/>
    <w:uiPriority w:val="20"/>
    <w:qFormat/>
    <w:rsid w:val="006029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edirection.com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521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Lançoni Bernardi</dc:creator>
  <cp:keywords/>
  <dc:description/>
  <cp:lastModifiedBy>Karina Lançoni Bernardi</cp:lastModifiedBy>
  <cp:revision>11</cp:revision>
  <dcterms:created xsi:type="dcterms:W3CDTF">2024-01-12T17:09:00Z</dcterms:created>
  <dcterms:modified xsi:type="dcterms:W3CDTF">2024-01-15T14:21:00Z</dcterms:modified>
</cp:coreProperties>
</file>