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1DDE" w14:textId="5C8BC69C" w:rsidR="003E1F05" w:rsidRPr="003E1F05" w:rsidRDefault="003E1F05" w:rsidP="003E1F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F05">
        <w:rPr>
          <w:rFonts w:ascii="Times New Roman" w:hAnsi="Times New Roman" w:cs="Times New Roman"/>
          <w:b/>
          <w:bCs/>
          <w:sz w:val="24"/>
          <w:szCs w:val="24"/>
        </w:rPr>
        <w:t xml:space="preserve">Com mercado aquecido, setor de </w:t>
      </w:r>
      <w:r w:rsidR="004B71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E1F05">
        <w:rPr>
          <w:rFonts w:ascii="Times New Roman" w:hAnsi="Times New Roman" w:cs="Times New Roman"/>
          <w:b/>
          <w:bCs/>
          <w:sz w:val="24"/>
          <w:szCs w:val="24"/>
        </w:rPr>
        <w:t xml:space="preserve">nergia </w:t>
      </w:r>
      <w:r w:rsidR="004B713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1F05">
        <w:rPr>
          <w:rFonts w:ascii="Times New Roman" w:hAnsi="Times New Roman" w:cs="Times New Roman"/>
          <w:b/>
          <w:bCs/>
          <w:sz w:val="24"/>
          <w:szCs w:val="24"/>
        </w:rPr>
        <w:t xml:space="preserve">olar registra recorde de fusões </w:t>
      </w:r>
      <w:r w:rsidR="004B71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E1F05">
        <w:rPr>
          <w:rFonts w:ascii="Times New Roman" w:hAnsi="Times New Roman" w:cs="Times New Roman"/>
          <w:b/>
          <w:bCs/>
          <w:sz w:val="24"/>
          <w:szCs w:val="24"/>
        </w:rPr>
        <w:t xml:space="preserve"> aquisições em 2022</w:t>
      </w:r>
    </w:p>
    <w:p w14:paraId="23049F2C" w14:textId="77777777" w:rsidR="003E1F05" w:rsidRPr="003E1F05" w:rsidRDefault="003E1F05" w:rsidP="003E1F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F05">
        <w:rPr>
          <w:rFonts w:ascii="Times New Roman" w:hAnsi="Times New Roman" w:cs="Times New Roman"/>
          <w:i/>
          <w:iCs/>
          <w:sz w:val="24"/>
          <w:szCs w:val="24"/>
        </w:rPr>
        <w:t>Volume de transações envolvendo empresas de geração e distribuição de energia solar foi 92% maior do que em 2021 no Brasil, segundo levantamento inédito da Redirection International</w:t>
      </w:r>
    </w:p>
    <w:p w14:paraId="766ED4EE" w14:textId="75375A91" w:rsidR="007C2D28" w:rsidRDefault="003E1F05" w:rsidP="003E1F05">
      <w:pPr>
        <w:jc w:val="both"/>
        <w:rPr>
          <w:rFonts w:ascii="Times New Roman" w:hAnsi="Times New Roman" w:cs="Times New Roman"/>
          <w:sz w:val="24"/>
          <w:szCs w:val="24"/>
        </w:rPr>
      </w:pPr>
      <w:r w:rsidRPr="003E1F05">
        <w:rPr>
          <w:rFonts w:ascii="Times New Roman" w:hAnsi="Times New Roman" w:cs="Times New Roman"/>
          <w:sz w:val="24"/>
          <w:szCs w:val="24"/>
        </w:rPr>
        <w:t xml:space="preserve">As fusões e aquisições (M&amp;A) no mercado </w:t>
      </w:r>
      <w:r>
        <w:rPr>
          <w:rFonts w:ascii="Times New Roman" w:hAnsi="Times New Roman" w:cs="Times New Roman"/>
          <w:sz w:val="24"/>
          <w:szCs w:val="24"/>
        </w:rPr>
        <w:t xml:space="preserve">brasileiro </w:t>
      </w:r>
      <w:r w:rsidRPr="003E1F05">
        <w:rPr>
          <w:rFonts w:ascii="Times New Roman" w:hAnsi="Times New Roman" w:cs="Times New Roman"/>
          <w:sz w:val="24"/>
          <w:szCs w:val="24"/>
        </w:rPr>
        <w:t xml:space="preserve">de </w:t>
      </w:r>
      <w:r w:rsidR="004B7139">
        <w:rPr>
          <w:rFonts w:ascii="Times New Roman" w:hAnsi="Times New Roman" w:cs="Times New Roman"/>
          <w:sz w:val="24"/>
          <w:szCs w:val="24"/>
        </w:rPr>
        <w:t>e</w:t>
      </w:r>
      <w:r w:rsidRPr="003E1F05">
        <w:rPr>
          <w:rFonts w:ascii="Times New Roman" w:hAnsi="Times New Roman" w:cs="Times New Roman"/>
          <w:sz w:val="24"/>
          <w:szCs w:val="24"/>
        </w:rPr>
        <w:t xml:space="preserve">nergia </w:t>
      </w:r>
      <w:r w:rsidR="004B7139">
        <w:rPr>
          <w:rFonts w:ascii="Times New Roman" w:hAnsi="Times New Roman" w:cs="Times New Roman"/>
          <w:sz w:val="24"/>
          <w:szCs w:val="24"/>
        </w:rPr>
        <w:t>s</w:t>
      </w:r>
      <w:r w:rsidRPr="003E1F05">
        <w:rPr>
          <w:rFonts w:ascii="Times New Roman" w:hAnsi="Times New Roman" w:cs="Times New Roman"/>
          <w:sz w:val="24"/>
          <w:szCs w:val="24"/>
        </w:rPr>
        <w:t>olar tiveram crescimento de 92% em 2022, em relação 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E1F05">
        <w:rPr>
          <w:rFonts w:ascii="Times New Roman" w:hAnsi="Times New Roman" w:cs="Times New Roman"/>
          <w:sz w:val="24"/>
          <w:szCs w:val="24"/>
        </w:rPr>
        <w:t>, com 25 transações concluídas</w:t>
      </w:r>
      <w:r w:rsidR="007C2D28">
        <w:rPr>
          <w:rFonts w:ascii="Times New Roman" w:hAnsi="Times New Roman" w:cs="Times New Roman"/>
          <w:sz w:val="24"/>
          <w:szCs w:val="24"/>
        </w:rPr>
        <w:t xml:space="preserve">, </w:t>
      </w:r>
      <w:r w:rsidR="006A5E3C">
        <w:rPr>
          <w:rFonts w:ascii="Times New Roman" w:hAnsi="Times New Roman" w:cs="Times New Roman"/>
          <w:sz w:val="24"/>
          <w:szCs w:val="24"/>
        </w:rPr>
        <w:t>quase o dobro do ano anterior, que registrou 13</w:t>
      </w:r>
      <w:r w:rsidRPr="003E1F05">
        <w:rPr>
          <w:rFonts w:ascii="Times New Roman" w:hAnsi="Times New Roman" w:cs="Times New Roman"/>
          <w:sz w:val="24"/>
          <w:szCs w:val="24"/>
        </w:rPr>
        <w:t xml:space="preserve">. Os dados são de um levantamento inédito realizado pela Redirection International, </w:t>
      </w:r>
      <w:r w:rsidR="00F02A9C">
        <w:rPr>
          <w:rFonts w:ascii="Times New Roman" w:hAnsi="Times New Roman" w:cs="Times New Roman"/>
          <w:sz w:val="24"/>
          <w:szCs w:val="24"/>
        </w:rPr>
        <w:t xml:space="preserve">consultoria </w:t>
      </w:r>
      <w:r w:rsidRPr="003E1F05">
        <w:rPr>
          <w:rFonts w:ascii="Times New Roman" w:hAnsi="Times New Roman" w:cs="Times New Roman"/>
          <w:sz w:val="24"/>
          <w:szCs w:val="24"/>
        </w:rPr>
        <w:t>especializada em assessoria de fusões e aquisições</w:t>
      </w:r>
      <w:r w:rsidR="007C2D28">
        <w:rPr>
          <w:rFonts w:ascii="Times New Roman" w:hAnsi="Times New Roman" w:cs="Times New Roman"/>
          <w:sz w:val="24"/>
          <w:szCs w:val="24"/>
        </w:rPr>
        <w:t>,</w:t>
      </w:r>
      <w:r w:rsidRPr="003E1F05">
        <w:rPr>
          <w:rFonts w:ascii="Times New Roman" w:hAnsi="Times New Roman" w:cs="Times New Roman"/>
          <w:sz w:val="24"/>
          <w:szCs w:val="24"/>
        </w:rPr>
        <w:t xml:space="preserve"> e levam em conta todas as negociações</w:t>
      </w:r>
      <w:r w:rsidR="007C2D28">
        <w:rPr>
          <w:rFonts w:ascii="Times New Roman" w:hAnsi="Times New Roman" w:cs="Times New Roman"/>
          <w:sz w:val="24"/>
          <w:szCs w:val="24"/>
        </w:rPr>
        <w:t xml:space="preserve"> de M&amp;A e aquisição de ativos</w:t>
      </w:r>
      <w:r w:rsidRPr="003E1F05">
        <w:rPr>
          <w:rFonts w:ascii="Times New Roman" w:hAnsi="Times New Roman" w:cs="Times New Roman"/>
          <w:sz w:val="24"/>
          <w:szCs w:val="24"/>
        </w:rPr>
        <w:t xml:space="preserve"> envolvendo empresas de geração e distribuição fotovoltaica,</w:t>
      </w:r>
      <w:r w:rsidR="007C2D28">
        <w:rPr>
          <w:rFonts w:ascii="Times New Roman" w:hAnsi="Times New Roman" w:cs="Times New Roman"/>
          <w:sz w:val="24"/>
          <w:szCs w:val="24"/>
        </w:rPr>
        <w:t xml:space="preserve"> não contemplando startups, serviços relacionados ou formações de joint ventures no segmento.</w:t>
      </w:r>
    </w:p>
    <w:p w14:paraId="504F1E5C" w14:textId="511C68E4" w:rsidR="00331400" w:rsidRDefault="007C2D28" w:rsidP="0033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economista Adam Patterson, sócio da Redirection, o bom desempenho na atividade de M&amp;A é </w:t>
      </w:r>
      <w:r w:rsidR="00331400">
        <w:rPr>
          <w:rFonts w:ascii="Times New Roman" w:hAnsi="Times New Roman" w:cs="Times New Roman"/>
          <w:sz w:val="24"/>
          <w:szCs w:val="24"/>
        </w:rPr>
        <w:t>resultado do</w:t>
      </w:r>
      <w:r>
        <w:rPr>
          <w:rFonts w:ascii="Times New Roman" w:hAnsi="Times New Roman" w:cs="Times New Roman"/>
          <w:sz w:val="24"/>
          <w:szCs w:val="24"/>
        </w:rPr>
        <w:t xml:space="preserve"> crescimento do setor</w:t>
      </w:r>
      <w:r w:rsidR="00331400">
        <w:rPr>
          <w:rFonts w:ascii="Times New Roman" w:hAnsi="Times New Roman" w:cs="Times New Roman"/>
          <w:sz w:val="24"/>
          <w:szCs w:val="24"/>
        </w:rPr>
        <w:t xml:space="preserve">, que já responde por 11,2% de toda a energia elétrica </w:t>
      </w:r>
      <w:r w:rsidR="006A5E3C">
        <w:rPr>
          <w:rFonts w:ascii="Times New Roman" w:hAnsi="Times New Roman" w:cs="Times New Roman"/>
          <w:sz w:val="24"/>
          <w:szCs w:val="24"/>
        </w:rPr>
        <w:t>produzida</w:t>
      </w:r>
      <w:r w:rsidR="00331400">
        <w:rPr>
          <w:rFonts w:ascii="Times New Roman" w:hAnsi="Times New Roman" w:cs="Times New Roman"/>
          <w:sz w:val="24"/>
          <w:szCs w:val="24"/>
        </w:rPr>
        <w:t xml:space="preserve"> no país e se tornou</w:t>
      </w:r>
      <w:r w:rsidR="0018731C">
        <w:rPr>
          <w:rFonts w:ascii="Times New Roman" w:hAnsi="Times New Roman" w:cs="Times New Roman"/>
          <w:sz w:val="24"/>
          <w:szCs w:val="24"/>
        </w:rPr>
        <w:t xml:space="preserve"> recentemente</w:t>
      </w:r>
      <w:r w:rsidR="00331400">
        <w:rPr>
          <w:rFonts w:ascii="Times New Roman" w:hAnsi="Times New Roman" w:cs="Times New Roman"/>
          <w:sz w:val="24"/>
          <w:szCs w:val="24"/>
        </w:rPr>
        <w:t xml:space="preserve"> a segunda principal fonte da matriz energética brasileira, s</w:t>
      </w:r>
      <w:r>
        <w:rPr>
          <w:rFonts w:ascii="Times New Roman" w:hAnsi="Times New Roman" w:cs="Times New Roman"/>
          <w:sz w:val="24"/>
          <w:szCs w:val="24"/>
        </w:rPr>
        <w:t>egundo dados da Associação Brasileira de Energia Solar</w:t>
      </w:r>
      <w:r w:rsidR="00331400">
        <w:rPr>
          <w:rFonts w:ascii="Times New Roman" w:hAnsi="Times New Roman" w:cs="Times New Roman"/>
          <w:sz w:val="24"/>
          <w:szCs w:val="24"/>
        </w:rPr>
        <w:t xml:space="preserve"> Fotovoltaica (ABSOLAR). “A indústria de geração solar distribuída está passando por uma fase de crescimento acentuado e será cada vez mais marcada por transações de M&amp;A,</w:t>
      </w:r>
      <w:r w:rsidR="0018731C">
        <w:rPr>
          <w:rFonts w:ascii="Times New Roman" w:hAnsi="Times New Roman" w:cs="Times New Roman"/>
          <w:sz w:val="24"/>
          <w:szCs w:val="24"/>
        </w:rPr>
        <w:t xml:space="preserve"> tanto de </w:t>
      </w:r>
      <w:r w:rsidR="00331400">
        <w:rPr>
          <w:rFonts w:ascii="Times New Roman" w:hAnsi="Times New Roman" w:cs="Times New Roman"/>
          <w:sz w:val="24"/>
          <w:szCs w:val="24"/>
        </w:rPr>
        <w:t xml:space="preserve">empresas locais e estrangeiras, </w:t>
      </w:r>
      <w:r w:rsidR="0018731C">
        <w:rPr>
          <w:rFonts w:ascii="Times New Roman" w:hAnsi="Times New Roman" w:cs="Times New Roman"/>
          <w:sz w:val="24"/>
          <w:szCs w:val="24"/>
        </w:rPr>
        <w:t>quanto de g</w:t>
      </w:r>
      <w:r w:rsidR="00F02A9C">
        <w:rPr>
          <w:rFonts w:ascii="Times New Roman" w:hAnsi="Times New Roman" w:cs="Times New Roman"/>
          <w:sz w:val="24"/>
          <w:szCs w:val="24"/>
        </w:rPr>
        <w:t>r</w:t>
      </w:r>
      <w:r w:rsidR="00331400">
        <w:rPr>
          <w:rFonts w:ascii="Times New Roman" w:hAnsi="Times New Roman" w:cs="Times New Roman"/>
          <w:sz w:val="24"/>
          <w:szCs w:val="24"/>
        </w:rPr>
        <w:t>andes fundos de investimentos”, destaca.</w:t>
      </w:r>
    </w:p>
    <w:p w14:paraId="14E9E2F5" w14:textId="132E55E3" w:rsidR="008C03DC" w:rsidRPr="008C03DC" w:rsidRDefault="007829B8" w:rsidP="007829B8">
      <w:pPr>
        <w:jc w:val="both"/>
        <w:rPr>
          <w:rFonts w:cstheme="minorHAnsi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Entre os fatores que impulsionaram a atração de investimentos no setor, segundo o relatório, estão o Marco Legal da Micro e Mini</w:t>
      </w:r>
      <w:r w:rsidR="009F787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eração Distribuída, em vigor desde o início de 2022, e os incentivos fiscais para a instalação </w:t>
      </w:r>
      <w:r w:rsidR="00CD04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sistemas fotovoltaicos. Adam Patterson lembra que a busca por energia limpa e </w:t>
      </w:r>
      <w:r w:rsidR="006A5E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agenda ESG são uma tendência global e o Brasil possui um grande potencial para esse tipo de geração. “A legislação vigente trouxe segurança jurídica para o</w:t>
      </w:r>
      <w:r w:rsidR="004B7139">
        <w:rPr>
          <w:rFonts w:ascii="Times New Roman" w:hAnsi="Times New Roman" w:cs="Times New Roman"/>
          <w:sz w:val="24"/>
          <w:szCs w:val="24"/>
        </w:rPr>
        <w:t>s investidores</w:t>
      </w:r>
      <w:r>
        <w:rPr>
          <w:rFonts w:ascii="Times New Roman" w:hAnsi="Times New Roman" w:cs="Times New Roman"/>
          <w:sz w:val="24"/>
          <w:szCs w:val="24"/>
        </w:rPr>
        <w:t xml:space="preserve"> e as fusões e aquisições trazem grandes oportunidades para acelerar essa transição da matriz energética”. </w:t>
      </w:r>
    </w:p>
    <w:p w14:paraId="23DBD741" w14:textId="583E9125" w:rsidR="00782A74" w:rsidRDefault="00782A74" w:rsidP="0033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levantamento aponta ainda que o setor macro de energia no Brasil – que engloba todas as fontes de geração - também apresentou crescimento no volume de fusões e aquisições. </w:t>
      </w:r>
      <w:r w:rsidR="006A5E3C">
        <w:rPr>
          <w:rFonts w:ascii="Times New Roman" w:hAnsi="Times New Roman" w:cs="Times New Roman"/>
          <w:sz w:val="24"/>
          <w:szCs w:val="24"/>
        </w:rPr>
        <w:t>“Isso demonstra a resiliência d</w:t>
      </w:r>
      <w:r w:rsidR="004B7139">
        <w:rPr>
          <w:rFonts w:ascii="Times New Roman" w:hAnsi="Times New Roman" w:cs="Times New Roman"/>
          <w:sz w:val="24"/>
          <w:szCs w:val="24"/>
        </w:rPr>
        <w:t>este segmento</w:t>
      </w:r>
      <w:r w:rsidR="006A5E3C">
        <w:rPr>
          <w:rFonts w:ascii="Times New Roman" w:hAnsi="Times New Roman" w:cs="Times New Roman"/>
          <w:sz w:val="24"/>
          <w:szCs w:val="24"/>
        </w:rPr>
        <w:t xml:space="preserve"> que está na contramão do mercado nacional, que registrou queda de 7,8% no volume total de M&amp;A em 2022”, destaca Adam Patterson. </w:t>
      </w:r>
      <w:r>
        <w:rPr>
          <w:rFonts w:ascii="Times New Roman" w:hAnsi="Times New Roman" w:cs="Times New Roman"/>
          <w:sz w:val="24"/>
          <w:szCs w:val="24"/>
        </w:rPr>
        <w:t>As operações envolvendo companhias energéticas representaram 10% do total de transações registradas no Brasil no ano passado</w:t>
      </w:r>
      <w:r w:rsidR="004B7139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114 negociações consolidadas, crescimento de 81% em relação a 2021, quando foram 63. </w:t>
      </w:r>
    </w:p>
    <w:p w14:paraId="6C1F4D0D" w14:textId="246428E3" w:rsidR="00331400" w:rsidRPr="006A5E3C" w:rsidRDefault="00331400" w:rsidP="00331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E3C">
        <w:rPr>
          <w:rFonts w:ascii="Times New Roman" w:hAnsi="Times New Roman" w:cs="Times New Roman"/>
          <w:b/>
          <w:bCs/>
          <w:sz w:val="24"/>
          <w:szCs w:val="24"/>
        </w:rPr>
        <w:t>Mercado em expansão</w:t>
      </w:r>
    </w:p>
    <w:p w14:paraId="1F256AC0" w14:textId="754AE4B0" w:rsidR="00F9282F" w:rsidRDefault="006A5E3C" w:rsidP="0033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setor de energia solar vem crescendo significativamente e, </w:t>
      </w:r>
      <w:r w:rsidR="0070444F">
        <w:rPr>
          <w:rFonts w:ascii="Times New Roman" w:hAnsi="Times New Roman" w:cs="Times New Roman"/>
          <w:sz w:val="24"/>
          <w:szCs w:val="24"/>
        </w:rPr>
        <w:t>nos últimos doze meses,</w:t>
      </w:r>
      <w:r>
        <w:rPr>
          <w:rFonts w:ascii="Times New Roman" w:hAnsi="Times New Roman" w:cs="Times New Roman"/>
          <w:sz w:val="24"/>
          <w:szCs w:val="24"/>
        </w:rPr>
        <w:t xml:space="preserve"> a potência instalada de sistemas fotovoltaicos aumentou 84%</w:t>
      </w:r>
      <w:r w:rsidR="0070444F">
        <w:rPr>
          <w:rFonts w:ascii="Times New Roman" w:hAnsi="Times New Roman" w:cs="Times New Roman"/>
          <w:sz w:val="24"/>
          <w:szCs w:val="24"/>
        </w:rPr>
        <w:t xml:space="preserve"> no país</w:t>
      </w:r>
      <w:r>
        <w:rPr>
          <w:rFonts w:ascii="Times New Roman" w:hAnsi="Times New Roman" w:cs="Times New Roman"/>
          <w:sz w:val="24"/>
          <w:szCs w:val="24"/>
        </w:rPr>
        <w:t>, passando de 13 gigawatts</w:t>
      </w:r>
      <w:r w:rsidR="004B7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(GW) em janeiro</w:t>
      </w:r>
      <w:r w:rsidR="004B7139">
        <w:rPr>
          <w:rFonts w:ascii="Times New Roman" w:hAnsi="Times New Roman" w:cs="Times New Roman"/>
          <w:sz w:val="24"/>
          <w:szCs w:val="24"/>
        </w:rPr>
        <w:t xml:space="preserve"> de 2022</w:t>
      </w:r>
      <w:r>
        <w:rPr>
          <w:rFonts w:ascii="Times New Roman" w:hAnsi="Times New Roman" w:cs="Times New Roman"/>
          <w:sz w:val="24"/>
          <w:szCs w:val="24"/>
        </w:rPr>
        <w:t xml:space="preserve"> para 23,9GW no início de 2023, de acordo com dados da ABSOLAR.</w:t>
      </w:r>
      <w:r w:rsidR="0070444F">
        <w:rPr>
          <w:rFonts w:ascii="Times New Roman" w:hAnsi="Times New Roman" w:cs="Times New Roman"/>
          <w:sz w:val="24"/>
          <w:szCs w:val="24"/>
        </w:rPr>
        <w:t xml:space="preserve"> </w:t>
      </w:r>
      <w:r w:rsidR="00F9282F">
        <w:rPr>
          <w:rFonts w:ascii="Times New Roman" w:hAnsi="Times New Roman" w:cs="Times New Roman"/>
          <w:sz w:val="24"/>
          <w:szCs w:val="24"/>
        </w:rPr>
        <w:t>A expectativa é que a capacidade produtiva aumente 42% em 2023, alcançando 34GW de potência instalada.</w:t>
      </w:r>
    </w:p>
    <w:p w14:paraId="5ED9A304" w14:textId="7EF36FE3" w:rsidR="00EE4826" w:rsidRDefault="00F9282F" w:rsidP="0033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mercado em expansão, </w:t>
      </w:r>
      <w:r w:rsidR="00EE4826">
        <w:rPr>
          <w:rFonts w:ascii="Times New Roman" w:hAnsi="Times New Roman" w:cs="Times New Roman"/>
          <w:sz w:val="24"/>
          <w:szCs w:val="24"/>
        </w:rPr>
        <w:t xml:space="preserve">a expectativa é </w:t>
      </w:r>
      <w:r>
        <w:rPr>
          <w:rFonts w:ascii="Times New Roman" w:hAnsi="Times New Roman" w:cs="Times New Roman"/>
          <w:sz w:val="24"/>
          <w:szCs w:val="24"/>
        </w:rPr>
        <w:t xml:space="preserve">que as operações de fusão e aquisição de projetos de energia solar </w:t>
      </w:r>
      <w:r w:rsidR="00EE4826">
        <w:rPr>
          <w:rFonts w:ascii="Times New Roman" w:hAnsi="Times New Roman" w:cs="Times New Roman"/>
          <w:sz w:val="24"/>
          <w:szCs w:val="24"/>
        </w:rPr>
        <w:t xml:space="preserve">acompanhem </w:t>
      </w:r>
      <w:r>
        <w:rPr>
          <w:rFonts w:ascii="Times New Roman" w:hAnsi="Times New Roman" w:cs="Times New Roman"/>
          <w:sz w:val="24"/>
          <w:szCs w:val="24"/>
        </w:rPr>
        <w:t xml:space="preserve">essa tendência, principalmente com a entrada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investidores globais em busca de segurança energética e alta rentabilidade. </w:t>
      </w:r>
      <w:r w:rsidR="00EE4826">
        <w:rPr>
          <w:rFonts w:ascii="Times New Roman" w:hAnsi="Times New Roman" w:cs="Times New Roman"/>
          <w:sz w:val="24"/>
          <w:szCs w:val="24"/>
        </w:rPr>
        <w:t>O mercado de startups também deve alavancar o setor nos próximos anos. Segundo levantamento da plataforma de inovação Distrito, as energytechs atraíram, somente nos 11 primeiros meses de 2022, cerca de US$288 milhões em investimentos, crescimento de 134% em relação a 2021.</w:t>
      </w:r>
    </w:p>
    <w:p w14:paraId="0D101793" w14:textId="0EF9F625" w:rsidR="00F9282F" w:rsidRDefault="00F9282F" w:rsidP="0033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setor tem tudo para crescer com a entrada de mais investimentos privados e capital estrangeiro. Grandes players buscam projetos de qualidade em energia solar, incluindo brasileiros como Ômega Geração e AES Tietê, bem como os grandes globais como por exemplo, a Total, a Dutch Shell, a Royal e a Equinor. Além disso, as empresas tradicionais de energia estão cada vez mais atentas </w:t>
      </w:r>
      <w:r w:rsidR="004B7139">
        <w:rPr>
          <w:rFonts w:ascii="Times New Roman" w:hAnsi="Times New Roman" w:cs="Times New Roman"/>
          <w:sz w:val="24"/>
          <w:szCs w:val="24"/>
        </w:rPr>
        <w:t>a esse tipo de geração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E4826">
        <w:rPr>
          <w:rFonts w:ascii="Times New Roman" w:hAnsi="Times New Roman" w:cs="Times New Roman"/>
          <w:sz w:val="24"/>
          <w:szCs w:val="24"/>
        </w:rPr>
        <w:t>, destaca Adam Patterson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F34DE" w14:textId="42B25B0D" w:rsidR="00BB1FA2" w:rsidRPr="00EE4826" w:rsidRDefault="00EE4826" w:rsidP="00EE48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Desde 2012</w:t>
      </w:r>
      <w:r w:rsidR="004B7139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energia solar atraiu</w:t>
      </w:r>
      <w:r w:rsidR="00BB1FA2" w:rsidRPr="00EE4826">
        <w:rPr>
          <w:rFonts w:ascii="Times New Roman" w:eastAsia="Times New Roman" w:hAnsi="Times New Roman" w:cs="Times New Roman"/>
          <w:sz w:val="24"/>
          <w:szCs w:val="24"/>
        </w:rPr>
        <w:t xml:space="preserve"> mais de R$ 120,8 bilhões em investimentos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BB1FA2" w:rsidRPr="00EE4826">
        <w:rPr>
          <w:rFonts w:ascii="Times New Roman" w:eastAsia="Times New Roman" w:hAnsi="Times New Roman" w:cs="Times New Roman"/>
          <w:sz w:val="24"/>
          <w:szCs w:val="24"/>
        </w:rPr>
        <w:t xml:space="preserve"> Brasil, resultando na geração de mais de 705 mil empregos e cerca de R$ 38 bilhões em arrecadação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 xml:space="preserve">evitando a emissão de </w:t>
      </w:r>
      <w:r w:rsidR="00E518BF" w:rsidRPr="00EE4826">
        <w:rPr>
          <w:rFonts w:ascii="Times New Roman" w:eastAsia="Times New Roman" w:hAnsi="Times New Roman" w:cs="Times New Roman"/>
          <w:sz w:val="24"/>
          <w:szCs w:val="24"/>
        </w:rPr>
        <w:t>33,3 milhões de toneladas de CO2 na atmosfera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 acordo com a</w:t>
      </w:r>
      <w:r w:rsidR="00D917C1">
        <w:rPr>
          <w:rFonts w:ascii="Times New Roman" w:eastAsia="Times New Roman" w:hAnsi="Times New Roman" w:cs="Times New Roman"/>
          <w:sz w:val="24"/>
          <w:szCs w:val="24"/>
        </w:rPr>
        <w:t xml:space="preserve"> ABSOLAR</w:t>
      </w:r>
      <w:r w:rsidR="00BB1FA2" w:rsidRPr="00EE4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C571A3" w14:textId="77777777" w:rsidR="009F7872" w:rsidRPr="009F7872" w:rsidRDefault="009F7872" w:rsidP="009F7872">
      <w:pPr>
        <w:pStyle w:val="NormalWeb"/>
        <w:jc w:val="both"/>
        <w:rPr>
          <w:rStyle w:val="Forte"/>
          <w:sz w:val="22"/>
          <w:szCs w:val="22"/>
        </w:rPr>
      </w:pPr>
      <w:r w:rsidRPr="009F7872">
        <w:rPr>
          <w:rStyle w:val="Forte"/>
          <w:sz w:val="22"/>
          <w:szCs w:val="22"/>
        </w:rPr>
        <w:t>Sobre a Redirection</w:t>
      </w:r>
    </w:p>
    <w:p w14:paraId="295C4554" w14:textId="2DA53662" w:rsidR="00331400" w:rsidRPr="009F7872" w:rsidRDefault="009F7872" w:rsidP="009F78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7872">
        <w:rPr>
          <w:rFonts w:ascii="Times New Roman" w:hAnsi="Times New Roman" w:cs="Times New Roman"/>
        </w:rPr>
        <w:t xml:space="preserve">A Redirection é uma consultoria especializada em assessoria de Fusões &amp; Aquisições para empresas locais e internacionais do </w:t>
      </w:r>
      <w:r w:rsidRPr="009F7872">
        <w:rPr>
          <w:rStyle w:val="nfase"/>
          <w:rFonts w:ascii="Times New Roman" w:hAnsi="Times New Roman" w:cs="Times New Roman"/>
        </w:rPr>
        <w:t>middle market</w:t>
      </w:r>
      <w:r w:rsidRPr="009F7872">
        <w:rPr>
          <w:rFonts w:ascii="Times New Roman" w:hAnsi="Times New Roman" w:cs="Times New Roman"/>
        </w:rPr>
        <w:t xml:space="preserve">. Possui uma grande experiência em transações </w:t>
      </w:r>
      <w:r w:rsidRPr="009F7872">
        <w:rPr>
          <w:rStyle w:val="nfase"/>
          <w:rFonts w:ascii="Times New Roman" w:hAnsi="Times New Roman" w:cs="Times New Roman"/>
        </w:rPr>
        <w:t>cross-border</w:t>
      </w:r>
      <w:r w:rsidRPr="009F7872">
        <w:rPr>
          <w:rFonts w:ascii="Times New Roman" w:hAnsi="Times New Roman" w:cs="Times New Roman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8" w:history="1">
        <w:r w:rsidRPr="009F7872">
          <w:rPr>
            <w:rStyle w:val="Hyperlink"/>
            <w:rFonts w:ascii="Times New Roman" w:eastAsiaTheme="majorEastAsia" w:hAnsi="Times New Roman" w:cs="Times New Roman"/>
          </w:rPr>
          <w:t>https://www.redirection.com.br/</w:t>
        </w:r>
      </w:hyperlink>
    </w:p>
    <w:p w14:paraId="0C0F525E" w14:textId="42D788D6" w:rsidR="006F6CE2" w:rsidRPr="008833F7" w:rsidRDefault="006F6CE2" w:rsidP="006307CE">
      <w:pPr>
        <w:rPr>
          <w:rFonts w:cstheme="minorHAnsi"/>
        </w:rPr>
      </w:pPr>
    </w:p>
    <w:p w14:paraId="61A9456B" w14:textId="35D9053F" w:rsidR="006F6CE2" w:rsidRPr="008833F7" w:rsidRDefault="006F6CE2" w:rsidP="006307CE">
      <w:pPr>
        <w:rPr>
          <w:rFonts w:cstheme="minorHAnsi"/>
        </w:rPr>
      </w:pPr>
    </w:p>
    <w:p w14:paraId="61AB0086" w14:textId="0ABB1CDB" w:rsidR="006F6CE2" w:rsidRPr="008833F7" w:rsidRDefault="006F6CE2" w:rsidP="006307CE">
      <w:pPr>
        <w:rPr>
          <w:rFonts w:cstheme="minorHAnsi"/>
        </w:rPr>
      </w:pPr>
    </w:p>
    <w:p w14:paraId="348C6B26" w14:textId="77DA3F4B" w:rsidR="006F6CE2" w:rsidRPr="008833F7" w:rsidRDefault="006F6CE2" w:rsidP="006307CE">
      <w:pPr>
        <w:rPr>
          <w:rFonts w:cstheme="minorHAnsi"/>
        </w:rPr>
      </w:pPr>
    </w:p>
    <w:p w14:paraId="52549F56" w14:textId="77777777" w:rsidR="006F6CE2" w:rsidRPr="008833F7" w:rsidRDefault="006F6CE2" w:rsidP="006307CE">
      <w:pPr>
        <w:rPr>
          <w:rFonts w:cstheme="minorHAnsi"/>
        </w:rPr>
      </w:pPr>
    </w:p>
    <w:sectPr w:rsidR="006F6CE2" w:rsidRPr="0088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B6AA" w14:textId="77777777" w:rsidR="00264B56" w:rsidRDefault="00264B56" w:rsidP="006F6585">
      <w:pPr>
        <w:spacing w:after="0" w:line="240" w:lineRule="auto"/>
      </w:pPr>
      <w:r>
        <w:separator/>
      </w:r>
    </w:p>
  </w:endnote>
  <w:endnote w:type="continuationSeparator" w:id="0">
    <w:p w14:paraId="288453D9" w14:textId="77777777" w:rsidR="00264B56" w:rsidRDefault="00264B56" w:rsidP="006F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EEB5" w14:textId="77777777" w:rsidR="00264B56" w:rsidRDefault="00264B56" w:rsidP="006F6585">
      <w:pPr>
        <w:spacing w:after="0" w:line="240" w:lineRule="auto"/>
      </w:pPr>
      <w:r>
        <w:separator/>
      </w:r>
    </w:p>
  </w:footnote>
  <w:footnote w:type="continuationSeparator" w:id="0">
    <w:p w14:paraId="717D0F2D" w14:textId="77777777" w:rsidR="00264B56" w:rsidRDefault="00264B56" w:rsidP="006F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8F0"/>
    <w:multiLevelType w:val="hybridMultilevel"/>
    <w:tmpl w:val="2FB0B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ECC"/>
    <w:multiLevelType w:val="hybridMultilevel"/>
    <w:tmpl w:val="41F6E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33F3"/>
    <w:multiLevelType w:val="multilevel"/>
    <w:tmpl w:val="7D1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184365">
    <w:abstractNumId w:val="2"/>
  </w:num>
  <w:num w:numId="2" w16cid:durableId="1928268269">
    <w:abstractNumId w:val="0"/>
  </w:num>
  <w:num w:numId="3" w16cid:durableId="1849326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9A"/>
    <w:rsid w:val="0000361C"/>
    <w:rsid w:val="00014788"/>
    <w:rsid w:val="00110E04"/>
    <w:rsid w:val="00170559"/>
    <w:rsid w:val="00185D03"/>
    <w:rsid w:val="0018731C"/>
    <w:rsid w:val="001F141C"/>
    <w:rsid w:val="00201990"/>
    <w:rsid w:val="002103B0"/>
    <w:rsid w:val="00225123"/>
    <w:rsid w:val="00242BDB"/>
    <w:rsid w:val="0025375C"/>
    <w:rsid w:val="00264B56"/>
    <w:rsid w:val="002A411C"/>
    <w:rsid w:val="002F6856"/>
    <w:rsid w:val="00331400"/>
    <w:rsid w:val="00342B0C"/>
    <w:rsid w:val="00381005"/>
    <w:rsid w:val="003C676D"/>
    <w:rsid w:val="003D62BF"/>
    <w:rsid w:val="003E1F05"/>
    <w:rsid w:val="003F31BF"/>
    <w:rsid w:val="0049020E"/>
    <w:rsid w:val="004B7139"/>
    <w:rsid w:val="004E76BB"/>
    <w:rsid w:val="00590C90"/>
    <w:rsid w:val="006307CE"/>
    <w:rsid w:val="00634907"/>
    <w:rsid w:val="0066355C"/>
    <w:rsid w:val="00686385"/>
    <w:rsid w:val="006A5E3C"/>
    <w:rsid w:val="006D7E38"/>
    <w:rsid w:val="006F6585"/>
    <w:rsid w:val="006F6CE2"/>
    <w:rsid w:val="0070444F"/>
    <w:rsid w:val="007829B8"/>
    <w:rsid w:val="00782A74"/>
    <w:rsid w:val="007C2D28"/>
    <w:rsid w:val="007E0F89"/>
    <w:rsid w:val="008461B2"/>
    <w:rsid w:val="00856B91"/>
    <w:rsid w:val="008654DA"/>
    <w:rsid w:val="00882785"/>
    <w:rsid w:val="008833F7"/>
    <w:rsid w:val="00895EC2"/>
    <w:rsid w:val="008A2A5A"/>
    <w:rsid w:val="008C03DC"/>
    <w:rsid w:val="0090546F"/>
    <w:rsid w:val="009F7872"/>
    <w:rsid w:val="00A44976"/>
    <w:rsid w:val="00A66417"/>
    <w:rsid w:val="00A947E5"/>
    <w:rsid w:val="00AE25F3"/>
    <w:rsid w:val="00BB1FA2"/>
    <w:rsid w:val="00BE04F6"/>
    <w:rsid w:val="00BE453C"/>
    <w:rsid w:val="00C12F52"/>
    <w:rsid w:val="00C164AF"/>
    <w:rsid w:val="00C3634B"/>
    <w:rsid w:val="00CA6AF3"/>
    <w:rsid w:val="00CA75F0"/>
    <w:rsid w:val="00CD048A"/>
    <w:rsid w:val="00D24C86"/>
    <w:rsid w:val="00D41AB7"/>
    <w:rsid w:val="00D917C1"/>
    <w:rsid w:val="00DB3F05"/>
    <w:rsid w:val="00E518BF"/>
    <w:rsid w:val="00EB4220"/>
    <w:rsid w:val="00ED7853"/>
    <w:rsid w:val="00EE4826"/>
    <w:rsid w:val="00F02A9C"/>
    <w:rsid w:val="00F4749A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B35D"/>
  <w15:chartTrackingRefBased/>
  <w15:docId w15:val="{AAAF5D37-F644-418B-B2E8-0161F21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47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749A"/>
    <w:rPr>
      <w:color w:val="0000FF"/>
      <w:u w:val="single"/>
    </w:rPr>
  </w:style>
  <w:style w:type="character" w:customStyle="1" w:styleId="elementor-screen-only">
    <w:name w:val="elementor-screen-only"/>
    <w:basedOn w:val="Fontepargpadro"/>
    <w:rsid w:val="00F4749A"/>
  </w:style>
  <w:style w:type="character" w:styleId="nfase">
    <w:name w:val="Emphasis"/>
    <w:basedOn w:val="Fontepargpadro"/>
    <w:uiPriority w:val="20"/>
    <w:qFormat/>
    <w:rsid w:val="00F4749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474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F4749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4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2512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5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5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6585"/>
    <w:rPr>
      <w:vertAlign w:val="superscript"/>
    </w:rPr>
  </w:style>
  <w:style w:type="paragraph" w:styleId="SemEspaamento">
    <w:name w:val="No Spacing"/>
    <w:uiPriority w:val="1"/>
    <w:qFormat/>
    <w:rsid w:val="003E1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4527">
                          <w:blockQuote w:val="1"/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12" w:space="20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89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20" w:color="000000"/>
            <w:bottom w:val="none" w:sz="0" w:space="0" w:color="auto"/>
            <w:right w:val="none" w:sz="0" w:space="0" w:color="auto"/>
          </w:divBdr>
        </w:div>
        <w:div w:id="118824943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20" w:color="000000"/>
            <w:bottom w:val="none" w:sz="0" w:space="0" w:color="auto"/>
            <w:right w:val="none" w:sz="0" w:space="0" w:color="auto"/>
          </w:divBdr>
        </w:div>
      </w:divsChild>
    </w:div>
    <w:div w:id="2119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rection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C1B3-86CD-49E2-BB82-0027FDB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17</cp:revision>
  <dcterms:created xsi:type="dcterms:W3CDTF">2023-01-25T20:03:00Z</dcterms:created>
  <dcterms:modified xsi:type="dcterms:W3CDTF">2023-01-26T14:22:00Z</dcterms:modified>
</cp:coreProperties>
</file>