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CAB0" w14:textId="027C4531" w:rsidR="00333825" w:rsidRDefault="002C443D" w:rsidP="00516E3C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Setor de máquinas e e</w:t>
      </w:r>
      <w:r w:rsidR="002564BA" w:rsidRPr="003F000F">
        <w:rPr>
          <w:rFonts w:ascii="Times New Roman" w:hAnsi="Times New Roman" w:cs="Times New Roman"/>
          <w:b/>
          <w:bCs/>
          <w:sz w:val="24"/>
          <w:szCs w:val="24"/>
        </w:rPr>
        <w:t xml:space="preserve">quipamentos agrícolas deve crescer </w:t>
      </w:r>
      <w:r w:rsidR="000461BC">
        <w:rPr>
          <w:rFonts w:ascii="Times New Roman" w:hAnsi="Times New Roman" w:cs="Times New Roman"/>
          <w:b/>
          <w:bCs/>
          <w:sz w:val="24"/>
          <w:szCs w:val="24"/>
        </w:rPr>
        <w:t>22%</w:t>
      </w:r>
      <w:r w:rsidR="00762C98">
        <w:rPr>
          <w:rFonts w:ascii="Times New Roman" w:hAnsi="Times New Roman" w:cs="Times New Roman"/>
          <w:b/>
          <w:bCs/>
          <w:sz w:val="24"/>
          <w:szCs w:val="24"/>
        </w:rPr>
        <w:t xml:space="preserve"> até 202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564BA" w:rsidRPr="003F000F">
        <w:rPr>
          <w:rFonts w:ascii="Times New Roman" w:hAnsi="Times New Roman" w:cs="Times New Roman"/>
          <w:b/>
          <w:bCs/>
          <w:sz w:val="24"/>
          <w:szCs w:val="24"/>
        </w:rPr>
        <w:t xml:space="preserve"> no Brasil</w:t>
      </w:r>
    </w:p>
    <w:p w14:paraId="4D1B5707" w14:textId="3212E100" w:rsidR="00EA56A8" w:rsidRDefault="00762C98" w:rsidP="00516E3C">
      <w:pPr>
        <w:pStyle w:val="SemEspaamen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A56A8">
        <w:rPr>
          <w:rFonts w:ascii="Times New Roman" w:hAnsi="Times New Roman" w:cs="Times New Roman"/>
          <w:i/>
          <w:iCs/>
          <w:sz w:val="24"/>
          <w:szCs w:val="24"/>
        </w:rPr>
        <w:t>erspectivas de bom desempenho do agro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nacional, aumento na demanda por alimentos e </w:t>
      </w:r>
      <w:r w:rsidR="00CE243A">
        <w:rPr>
          <w:rFonts w:ascii="Times New Roman" w:hAnsi="Times New Roman" w:cs="Times New Roman"/>
          <w:i/>
          <w:iCs/>
          <w:sz w:val="24"/>
          <w:szCs w:val="24"/>
        </w:rPr>
        <w:t>expansão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da agricultura de precisão </w:t>
      </w:r>
      <w:r w:rsidR="00EA56A8">
        <w:rPr>
          <w:rFonts w:ascii="Times New Roman" w:hAnsi="Times New Roman" w:cs="Times New Roman"/>
          <w:i/>
          <w:iCs/>
          <w:sz w:val="24"/>
          <w:szCs w:val="24"/>
        </w:rPr>
        <w:t>devem impulsionar</w:t>
      </w:r>
      <w:r w:rsidR="002C443D">
        <w:rPr>
          <w:rFonts w:ascii="Times New Roman" w:hAnsi="Times New Roman" w:cs="Times New Roman"/>
          <w:i/>
          <w:iCs/>
          <w:sz w:val="24"/>
          <w:szCs w:val="24"/>
        </w:rPr>
        <w:t xml:space="preserve"> vendas</w:t>
      </w:r>
      <w:r w:rsidR="00CE243A">
        <w:rPr>
          <w:rFonts w:ascii="Times New Roman" w:hAnsi="Times New Roman" w:cs="Times New Roman"/>
          <w:i/>
          <w:iCs/>
          <w:sz w:val="24"/>
          <w:szCs w:val="24"/>
        </w:rPr>
        <w:t xml:space="preserve"> no setor</w:t>
      </w:r>
      <w:r w:rsidR="002C443D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r w:rsidR="00CE243A">
        <w:rPr>
          <w:rFonts w:ascii="Times New Roman" w:hAnsi="Times New Roman" w:cs="Times New Roman"/>
          <w:i/>
          <w:iCs/>
          <w:sz w:val="24"/>
          <w:szCs w:val="24"/>
        </w:rPr>
        <w:t xml:space="preserve">acelerar </w:t>
      </w:r>
      <w:r w:rsidR="002C443D">
        <w:rPr>
          <w:rFonts w:ascii="Times New Roman" w:hAnsi="Times New Roman" w:cs="Times New Roman"/>
          <w:i/>
          <w:iCs/>
          <w:sz w:val="24"/>
          <w:szCs w:val="24"/>
        </w:rPr>
        <w:t>atividades de</w:t>
      </w:r>
      <w:r w:rsidR="00EA56A8">
        <w:rPr>
          <w:rFonts w:ascii="Times New Roman" w:hAnsi="Times New Roman" w:cs="Times New Roman"/>
          <w:i/>
          <w:iCs/>
          <w:sz w:val="24"/>
          <w:szCs w:val="24"/>
        </w:rPr>
        <w:t xml:space="preserve"> fusões e aquisições nos próximos anos</w:t>
      </w:r>
    </w:p>
    <w:p w14:paraId="69AD1B81" w14:textId="77777777" w:rsidR="00762C98" w:rsidRDefault="00762C98" w:rsidP="002C443D">
      <w:pPr>
        <w:pStyle w:val="SemEspaamen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C64C7EF" w14:textId="3C3C00E1" w:rsidR="00032910" w:rsidRDefault="00762C98" w:rsidP="002C443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setor nacional </w:t>
      </w:r>
      <w:r w:rsidR="002C443D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máquinas </w:t>
      </w:r>
      <w:r w:rsidR="00032910">
        <w:rPr>
          <w:rFonts w:ascii="Times New Roman" w:hAnsi="Times New Roman" w:cs="Times New Roman"/>
          <w:sz w:val="24"/>
          <w:szCs w:val="24"/>
        </w:rPr>
        <w:t xml:space="preserve">e equipamentos </w:t>
      </w:r>
      <w:r>
        <w:rPr>
          <w:rFonts w:ascii="Times New Roman" w:hAnsi="Times New Roman" w:cs="Times New Roman"/>
          <w:sz w:val="24"/>
          <w:szCs w:val="24"/>
        </w:rPr>
        <w:t xml:space="preserve">agrícolas deve crescer </w:t>
      </w:r>
      <w:r w:rsidR="002C443D">
        <w:rPr>
          <w:rFonts w:ascii="Times New Roman" w:hAnsi="Times New Roman" w:cs="Times New Roman"/>
          <w:sz w:val="24"/>
          <w:szCs w:val="24"/>
        </w:rPr>
        <w:t>22% e</w:t>
      </w:r>
      <w:r>
        <w:rPr>
          <w:rFonts w:ascii="Times New Roman" w:hAnsi="Times New Roman" w:cs="Times New Roman"/>
          <w:sz w:val="24"/>
          <w:szCs w:val="24"/>
        </w:rPr>
        <w:t xml:space="preserve"> registrar mais operações de fusões e aquisições</w:t>
      </w:r>
      <w:r w:rsidR="00032910">
        <w:rPr>
          <w:rFonts w:ascii="Times New Roman" w:hAnsi="Times New Roman" w:cs="Times New Roman"/>
          <w:sz w:val="24"/>
          <w:szCs w:val="24"/>
        </w:rPr>
        <w:t xml:space="preserve"> (M&amp;A)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910">
        <w:rPr>
          <w:rFonts w:ascii="Times New Roman" w:hAnsi="Times New Roman" w:cs="Times New Roman"/>
          <w:sz w:val="24"/>
          <w:szCs w:val="24"/>
        </w:rPr>
        <w:t xml:space="preserve">nos próximos </w:t>
      </w:r>
      <w:r w:rsidR="002C443D">
        <w:rPr>
          <w:rFonts w:ascii="Times New Roman" w:hAnsi="Times New Roman" w:cs="Times New Roman"/>
          <w:sz w:val="24"/>
          <w:szCs w:val="24"/>
        </w:rPr>
        <w:t xml:space="preserve">três </w:t>
      </w:r>
      <w:r w:rsidR="00032910">
        <w:rPr>
          <w:rFonts w:ascii="Times New Roman" w:hAnsi="Times New Roman" w:cs="Times New Roman"/>
          <w:sz w:val="24"/>
          <w:szCs w:val="24"/>
        </w:rPr>
        <w:t>anos, s</w:t>
      </w:r>
      <w:r>
        <w:rPr>
          <w:rFonts w:ascii="Times New Roman" w:hAnsi="Times New Roman" w:cs="Times New Roman"/>
          <w:sz w:val="24"/>
          <w:szCs w:val="24"/>
        </w:rPr>
        <w:t xml:space="preserve">egundo </w:t>
      </w:r>
      <w:r w:rsidR="00032910">
        <w:rPr>
          <w:rFonts w:ascii="Times New Roman" w:hAnsi="Times New Roman" w:cs="Times New Roman"/>
          <w:sz w:val="24"/>
          <w:szCs w:val="24"/>
        </w:rPr>
        <w:t>projeção realizada pel</w:t>
      </w:r>
      <w:r>
        <w:rPr>
          <w:rFonts w:ascii="Times New Roman" w:hAnsi="Times New Roman" w:cs="Times New Roman"/>
          <w:sz w:val="24"/>
          <w:szCs w:val="24"/>
        </w:rPr>
        <w:t>a Redirection International, consultoria especializada em fusões e aquisições e desenvolvimento corporativo</w:t>
      </w:r>
      <w:r w:rsidR="00032910">
        <w:rPr>
          <w:rFonts w:ascii="Times New Roman" w:hAnsi="Times New Roman" w:cs="Times New Roman"/>
          <w:sz w:val="24"/>
          <w:szCs w:val="24"/>
        </w:rPr>
        <w:t>. O estudo</w:t>
      </w:r>
      <w:r w:rsidR="002C443D">
        <w:rPr>
          <w:rFonts w:ascii="Times New Roman" w:hAnsi="Times New Roman" w:cs="Times New Roman"/>
          <w:sz w:val="24"/>
          <w:szCs w:val="24"/>
        </w:rPr>
        <w:t xml:space="preserve">, </w:t>
      </w:r>
      <w:r w:rsidR="00032910">
        <w:rPr>
          <w:rFonts w:ascii="Times New Roman" w:hAnsi="Times New Roman" w:cs="Times New Roman"/>
          <w:sz w:val="24"/>
          <w:szCs w:val="24"/>
        </w:rPr>
        <w:t xml:space="preserve">feito </w:t>
      </w:r>
      <w:r w:rsidR="002C443D">
        <w:rPr>
          <w:rFonts w:ascii="Times New Roman" w:hAnsi="Times New Roman" w:cs="Times New Roman"/>
          <w:sz w:val="24"/>
          <w:szCs w:val="24"/>
        </w:rPr>
        <w:t>a partir de m</w:t>
      </w:r>
      <w:r w:rsidR="00032910">
        <w:rPr>
          <w:rFonts w:ascii="Times New Roman" w:hAnsi="Times New Roman" w:cs="Times New Roman"/>
          <w:sz w:val="24"/>
          <w:szCs w:val="24"/>
        </w:rPr>
        <w:t>odelos econômicos e estatísticos desenvolvidos pela equipe econômica da empresa</w:t>
      </w:r>
      <w:r w:rsidR="002C443D">
        <w:rPr>
          <w:rFonts w:ascii="Times New Roman" w:hAnsi="Times New Roman" w:cs="Times New Roman"/>
          <w:sz w:val="24"/>
          <w:szCs w:val="24"/>
        </w:rPr>
        <w:t xml:space="preserve"> e com base em dados oficiais,</w:t>
      </w:r>
      <w:r w:rsidR="00032910">
        <w:rPr>
          <w:rFonts w:ascii="Times New Roman" w:hAnsi="Times New Roman" w:cs="Times New Roman"/>
          <w:sz w:val="24"/>
          <w:szCs w:val="24"/>
        </w:rPr>
        <w:t xml:space="preserve"> aponta que as vendas do setor devem passar de 71 mil unidades em 2023 para 86</w:t>
      </w:r>
      <w:r w:rsidR="002C443D">
        <w:rPr>
          <w:rFonts w:ascii="Times New Roman" w:hAnsi="Times New Roman" w:cs="Times New Roman"/>
          <w:sz w:val="24"/>
          <w:szCs w:val="24"/>
        </w:rPr>
        <w:t>,4</w:t>
      </w:r>
      <w:r w:rsidR="00032910">
        <w:rPr>
          <w:rFonts w:ascii="Times New Roman" w:hAnsi="Times New Roman" w:cs="Times New Roman"/>
          <w:sz w:val="24"/>
          <w:szCs w:val="24"/>
        </w:rPr>
        <w:t xml:space="preserve"> mil em 202</w:t>
      </w:r>
      <w:r w:rsidR="002C443D">
        <w:rPr>
          <w:rFonts w:ascii="Times New Roman" w:hAnsi="Times New Roman" w:cs="Times New Roman"/>
          <w:sz w:val="24"/>
          <w:szCs w:val="24"/>
        </w:rPr>
        <w:t>6</w:t>
      </w:r>
      <w:r w:rsidR="00032910">
        <w:rPr>
          <w:rFonts w:ascii="Times New Roman" w:hAnsi="Times New Roman" w:cs="Times New Roman"/>
          <w:sz w:val="24"/>
          <w:szCs w:val="24"/>
        </w:rPr>
        <w:t>.</w:t>
      </w:r>
    </w:p>
    <w:p w14:paraId="1F2D9766" w14:textId="77777777" w:rsidR="002C443D" w:rsidRDefault="002C443D" w:rsidP="002C443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0EE04E5F" w14:textId="00878E1D" w:rsidR="002C443D" w:rsidRDefault="002C443D" w:rsidP="002C443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 cenário da indústria agrícola para 2023 apresenta tendências positivas</w:t>
      </w:r>
      <w:r w:rsidR="00E86AF1">
        <w:rPr>
          <w:rFonts w:ascii="Times New Roman" w:hAnsi="Times New Roman" w:cs="Times New Roman"/>
          <w:sz w:val="24"/>
          <w:szCs w:val="24"/>
        </w:rPr>
        <w:t xml:space="preserve">, com </w:t>
      </w:r>
      <w:r>
        <w:rPr>
          <w:rFonts w:ascii="Times New Roman" w:hAnsi="Times New Roman" w:cs="Times New Roman"/>
          <w:sz w:val="24"/>
          <w:szCs w:val="24"/>
        </w:rPr>
        <w:t xml:space="preserve">expectativa </w:t>
      </w:r>
      <w:r w:rsidR="00E86AF1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recordes históricos na colheita de grãos, principalmente no Paraná e nas regiões Sudeste e Centro-Oeste do Brasil. Além disso, há previsão de aumento no valor da produção e nos índices de confiança do agronegócio, o que </w:t>
      </w:r>
      <w:r w:rsidR="00E86AF1">
        <w:rPr>
          <w:rFonts w:ascii="Times New Roman" w:hAnsi="Times New Roman" w:cs="Times New Roman"/>
          <w:sz w:val="24"/>
          <w:szCs w:val="24"/>
        </w:rPr>
        <w:t>vai</w:t>
      </w:r>
      <w:r>
        <w:rPr>
          <w:rFonts w:ascii="Times New Roman" w:hAnsi="Times New Roman" w:cs="Times New Roman"/>
          <w:sz w:val="24"/>
          <w:szCs w:val="24"/>
        </w:rPr>
        <w:t xml:space="preserve"> impactar </w:t>
      </w:r>
      <w:r w:rsidR="00E86AF1">
        <w:rPr>
          <w:rFonts w:ascii="Times New Roman" w:hAnsi="Times New Roman" w:cs="Times New Roman"/>
          <w:sz w:val="24"/>
          <w:szCs w:val="24"/>
        </w:rPr>
        <w:t xml:space="preserve">positivamente </w:t>
      </w:r>
      <w:r>
        <w:rPr>
          <w:rFonts w:ascii="Times New Roman" w:hAnsi="Times New Roman" w:cs="Times New Roman"/>
          <w:sz w:val="24"/>
          <w:szCs w:val="24"/>
        </w:rPr>
        <w:t>o mercado de máquinas e equipamentos nos próximos anos”, explica o economista Adam Patterson, sócio da Redirection International e um dos responsáveis pelo estudo.</w:t>
      </w:r>
    </w:p>
    <w:p w14:paraId="2DE3CD52" w14:textId="77777777" w:rsidR="00E86AF1" w:rsidRDefault="00E86AF1" w:rsidP="002C443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B3B24C0" w14:textId="1967AC64" w:rsidR="0032784B" w:rsidRDefault="00E86AF1" w:rsidP="00E86AF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E243A">
        <w:rPr>
          <w:rFonts w:ascii="Times New Roman" w:hAnsi="Times New Roman" w:cs="Times New Roman"/>
          <w:sz w:val="24"/>
          <w:szCs w:val="24"/>
        </w:rPr>
        <w:t>levantamento</w:t>
      </w:r>
      <w:r>
        <w:rPr>
          <w:rFonts w:ascii="Times New Roman" w:hAnsi="Times New Roman" w:cs="Times New Roman"/>
          <w:sz w:val="24"/>
          <w:szCs w:val="24"/>
        </w:rPr>
        <w:t xml:space="preserve"> destaca que o crescimento da população e da demanda por alimentos, o aumento da rentabilidade e da inovação no campo, a escassez de mão-de-obra e a expansão da agricultura de precisão e da mecanização são os principais fatores que devem impulsionar o setor nos próximos anos. “O mercado de equipamentos agrícolas, tanto de fabricação quanto de locação, apresenta perspectivas bastante positivas no Brasil. Com</w:t>
      </w:r>
      <w:r w:rsidR="00895B29">
        <w:rPr>
          <w:rFonts w:ascii="Times New Roman" w:hAnsi="Times New Roman" w:cs="Times New Roman"/>
          <w:sz w:val="24"/>
          <w:szCs w:val="24"/>
        </w:rPr>
        <w:t xml:space="preserve"> o início do ciclo de redução</w:t>
      </w:r>
      <w:r>
        <w:rPr>
          <w:rFonts w:ascii="Times New Roman" w:hAnsi="Times New Roman" w:cs="Times New Roman"/>
          <w:sz w:val="24"/>
          <w:szCs w:val="24"/>
        </w:rPr>
        <w:t xml:space="preserve"> na taxa de juros</w:t>
      </w:r>
      <w:r w:rsidR="00895B29">
        <w:rPr>
          <w:rFonts w:ascii="Times New Roman" w:hAnsi="Times New Roman" w:cs="Times New Roman"/>
          <w:sz w:val="24"/>
          <w:szCs w:val="24"/>
        </w:rPr>
        <w:t xml:space="preserve"> e previsão para mais reduções ainda neste ano</w:t>
      </w:r>
      <w:r>
        <w:rPr>
          <w:rFonts w:ascii="Times New Roman" w:hAnsi="Times New Roman" w:cs="Times New Roman"/>
          <w:sz w:val="24"/>
          <w:szCs w:val="24"/>
        </w:rPr>
        <w:t>, os investimentos em ativos fixos devem ser intensificados e, com isso, o mercado projeta um crescimento mais robusto, em torno de 10%</w:t>
      </w:r>
      <w:r w:rsidR="003278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partir do segundo semestre deste ano</w:t>
      </w:r>
      <w:r w:rsidR="0032784B">
        <w:rPr>
          <w:rFonts w:ascii="Times New Roman" w:hAnsi="Times New Roman" w:cs="Times New Roman"/>
          <w:sz w:val="24"/>
          <w:szCs w:val="24"/>
        </w:rPr>
        <w:t>”, ressalta Adam Patterson.</w:t>
      </w:r>
    </w:p>
    <w:p w14:paraId="5154D1B2" w14:textId="77777777" w:rsidR="0032784B" w:rsidRDefault="0032784B" w:rsidP="00E86AF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7160A16E" w14:textId="4A1E74E4" w:rsidR="0032784B" w:rsidRDefault="0032784B" w:rsidP="00E86AF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2784B">
        <w:rPr>
          <w:rFonts w:ascii="Times New Roman" w:hAnsi="Times New Roman" w:cs="Times New Roman"/>
          <w:sz w:val="24"/>
          <w:szCs w:val="24"/>
        </w:rPr>
        <w:t xml:space="preserve">Com as boas perspectivas para o agro de um modo geral, a tendência é que as atividades de fusões e aquisições no setor também sejam </w:t>
      </w:r>
      <w:r w:rsidR="00595053">
        <w:rPr>
          <w:rFonts w:ascii="Times New Roman" w:hAnsi="Times New Roman" w:cs="Times New Roman"/>
          <w:sz w:val="24"/>
          <w:szCs w:val="24"/>
        </w:rPr>
        <w:t>impactadas.</w:t>
      </w:r>
      <w:r w:rsidRPr="0032784B">
        <w:rPr>
          <w:rFonts w:ascii="Times New Roman" w:hAnsi="Times New Roman" w:cs="Times New Roman"/>
          <w:sz w:val="24"/>
          <w:szCs w:val="24"/>
        </w:rPr>
        <w:t xml:space="preserve"> </w:t>
      </w:r>
      <w:r w:rsidR="002B047E">
        <w:rPr>
          <w:rFonts w:ascii="Times New Roman" w:hAnsi="Times New Roman" w:cs="Times New Roman"/>
          <w:sz w:val="24"/>
          <w:szCs w:val="24"/>
        </w:rPr>
        <w:t>De acordo com o e le</w:t>
      </w:r>
      <w:r w:rsidRPr="0032784B">
        <w:rPr>
          <w:rFonts w:ascii="Times New Roman" w:hAnsi="Times New Roman" w:cs="Times New Roman"/>
          <w:sz w:val="24"/>
          <w:szCs w:val="24"/>
        </w:rPr>
        <w:t>vantamento da Redirection</w:t>
      </w:r>
      <w:r>
        <w:rPr>
          <w:rFonts w:ascii="Times New Roman" w:hAnsi="Times New Roman" w:cs="Times New Roman"/>
          <w:sz w:val="24"/>
          <w:szCs w:val="24"/>
        </w:rPr>
        <w:t xml:space="preserve">, globalmente o volume transacionado de M&amp;A </w:t>
      </w:r>
      <w:r w:rsidR="00CE243A">
        <w:rPr>
          <w:rFonts w:ascii="Times New Roman" w:hAnsi="Times New Roman" w:cs="Times New Roman"/>
          <w:sz w:val="24"/>
          <w:szCs w:val="24"/>
        </w:rPr>
        <w:t xml:space="preserve">no setor </w:t>
      </w:r>
      <w:r>
        <w:rPr>
          <w:rFonts w:ascii="Times New Roman" w:hAnsi="Times New Roman" w:cs="Times New Roman"/>
          <w:sz w:val="24"/>
          <w:szCs w:val="24"/>
        </w:rPr>
        <w:t xml:space="preserve">aumentou em 2022 e os múltiplos de valorização das empresas estão em alta. </w:t>
      </w:r>
      <w:r w:rsidR="00CE243A">
        <w:rPr>
          <w:rFonts w:ascii="Times New Roman" w:hAnsi="Times New Roman" w:cs="Times New Roman"/>
          <w:sz w:val="24"/>
          <w:szCs w:val="24"/>
        </w:rPr>
        <w:t>No Brasil, ess</w:t>
      </w:r>
      <w:r>
        <w:rPr>
          <w:rFonts w:ascii="Times New Roman" w:hAnsi="Times New Roman" w:cs="Times New Roman"/>
          <w:sz w:val="24"/>
          <w:szCs w:val="24"/>
        </w:rPr>
        <w:t xml:space="preserve">a tendência também é observada no </w:t>
      </w:r>
      <w:r w:rsidR="00CE243A">
        <w:rPr>
          <w:rFonts w:ascii="Times New Roman" w:hAnsi="Times New Roman" w:cs="Times New Roman"/>
          <w:sz w:val="24"/>
          <w:szCs w:val="24"/>
        </w:rPr>
        <w:t>setor que</w:t>
      </w:r>
      <w:r>
        <w:rPr>
          <w:rFonts w:ascii="Times New Roman" w:hAnsi="Times New Roman" w:cs="Times New Roman"/>
          <w:sz w:val="24"/>
          <w:szCs w:val="24"/>
        </w:rPr>
        <w:t xml:space="preserve">, somente nos três primeiros meses deste ano já movimentou R$ 1 bilhão em transações, valor maior do que o registrado em todo o ano passado. As transações no agro registradas até abril de 2023 representam 3,8% do total de operações de M&amp;A no </w:t>
      </w:r>
      <w:r w:rsidR="00CE243A">
        <w:rPr>
          <w:rFonts w:ascii="Times New Roman" w:hAnsi="Times New Roman" w:cs="Times New Roman"/>
          <w:sz w:val="24"/>
          <w:szCs w:val="24"/>
        </w:rPr>
        <w:t>país</w:t>
      </w:r>
      <w:r>
        <w:rPr>
          <w:rFonts w:ascii="Times New Roman" w:hAnsi="Times New Roman" w:cs="Times New Roman"/>
          <w:sz w:val="24"/>
          <w:szCs w:val="24"/>
        </w:rPr>
        <w:t>, enquanto no mesmo período de 2021 representava apenas 1,5% e, em 2022, 1,9%.</w:t>
      </w:r>
    </w:p>
    <w:p w14:paraId="4CFB73E3" w14:textId="77777777" w:rsidR="0032784B" w:rsidRDefault="0032784B" w:rsidP="00E86AF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02C7EBE7" w14:textId="04B9FFAC" w:rsidR="00595053" w:rsidRDefault="0032784B" w:rsidP="0059505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no segmento</w:t>
      </w:r>
      <w:r w:rsidR="00CE243A">
        <w:rPr>
          <w:rFonts w:ascii="Times New Roman" w:hAnsi="Times New Roman" w:cs="Times New Roman"/>
          <w:sz w:val="24"/>
          <w:szCs w:val="24"/>
        </w:rPr>
        <w:t xml:space="preserve"> específico</w:t>
      </w:r>
      <w:r>
        <w:rPr>
          <w:rFonts w:ascii="Times New Roman" w:hAnsi="Times New Roman" w:cs="Times New Roman"/>
          <w:sz w:val="24"/>
          <w:szCs w:val="24"/>
        </w:rPr>
        <w:t xml:space="preserve"> de máquinas e equipamentos agrícolas, </w:t>
      </w:r>
      <w:r w:rsidR="00CE243A">
        <w:rPr>
          <w:rFonts w:ascii="Times New Roman" w:hAnsi="Times New Roman" w:cs="Times New Roman"/>
          <w:sz w:val="24"/>
          <w:szCs w:val="24"/>
        </w:rPr>
        <w:t>observa-se que</w:t>
      </w:r>
      <w:r>
        <w:rPr>
          <w:rFonts w:ascii="Times New Roman" w:hAnsi="Times New Roman" w:cs="Times New Roman"/>
          <w:sz w:val="24"/>
          <w:szCs w:val="24"/>
        </w:rPr>
        <w:t xml:space="preserve"> cada vez mais </w:t>
      </w:r>
      <w:r w:rsidR="00CE243A">
        <w:rPr>
          <w:rFonts w:ascii="Times New Roman" w:hAnsi="Times New Roman" w:cs="Times New Roman"/>
          <w:sz w:val="24"/>
          <w:szCs w:val="24"/>
        </w:rPr>
        <w:t>as</w:t>
      </w:r>
      <w:r w:rsidR="002B047E">
        <w:rPr>
          <w:rFonts w:ascii="Times New Roman" w:hAnsi="Times New Roman" w:cs="Times New Roman"/>
          <w:sz w:val="24"/>
          <w:szCs w:val="24"/>
        </w:rPr>
        <w:t xml:space="preserve"> grandes empresas nacionais </w:t>
      </w:r>
      <w:r w:rsidR="00CE243A">
        <w:rPr>
          <w:rFonts w:ascii="Times New Roman" w:hAnsi="Times New Roman" w:cs="Times New Roman"/>
          <w:sz w:val="24"/>
          <w:szCs w:val="24"/>
        </w:rPr>
        <w:t xml:space="preserve">estão investindo em </w:t>
      </w:r>
      <w:r w:rsidR="002B047E">
        <w:rPr>
          <w:rFonts w:ascii="Times New Roman" w:hAnsi="Times New Roman" w:cs="Times New Roman"/>
          <w:sz w:val="24"/>
          <w:szCs w:val="24"/>
        </w:rPr>
        <w:t xml:space="preserve">M&amp;A nos últimos anos. Entre as transações destacadas no estudo estão a aquisição da Tietê Veículos pela Vamos em abril </w:t>
      </w:r>
      <w:r w:rsidR="009A2137">
        <w:rPr>
          <w:rFonts w:ascii="Times New Roman" w:hAnsi="Times New Roman" w:cs="Times New Roman"/>
          <w:sz w:val="24"/>
          <w:szCs w:val="24"/>
        </w:rPr>
        <w:t xml:space="preserve">e </w:t>
      </w:r>
      <w:r w:rsidR="002B047E">
        <w:rPr>
          <w:rFonts w:ascii="Times New Roman" w:hAnsi="Times New Roman" w:cs="Times New Roman"/>
          <w:sz w:val="24"/>
          <w:szCs w:val="24"/>
        </w:rPr>
        <w:t>a compra da Agrofito Case pelo grupo norueguês Nors em janeiro</w:t>
      </w:r>
      <w:r w:rsidR="009A2137">
        <w:rPr>
          <w:rFonts w:ascii="Times New Roman" w:hAnsi="Times New Roman" w:cs="Times New Roman"/>
          <w:sz w:val="24"/>
          <w:szCs w:val="24"/>
        </w:rPr>
        <w:t xml:space="preserve"> deste ano</w:t>
      </w:r>
      <w:r w:rsidR="002B047E">
        <w:rPr>
          <w:rFonts w:ascii="Times New Roman" w:hAnsi="Times New Roman" w:cs="Times New Roman"/>
          <w:sz w:val="24"/>
          <w:szCs w:val="24"/>
        </w:rPr>
        <w:t xml:space="preserve">. “É um mercado bastante fragmentado, com mais de 3 mil empresas atuando no Brasil, sendo que menos de 10% delas apresentam faturamento acima de R$ 50 milhões e 86,5% se concentram em apenas cinco estados brasileiros. </w:t>
      </w:r>
      <w:r w:rsidR="00595053">
        <w:rPr>
          <w:rFonts w:ascii="Times New Roman" w:hAnsi="Times New Roman" w:cs="Times New Roman"/>
          <w:sz w:val="24"/>
          <w:szCs w:val="24"/>
        </w:rPr>
        <w:t>Além disso, há o desejo de players globais e nacionais de ampliar rapidamente a participação neste mercado, o que deve acelerar as atividades de M&amp;A nos próximos anos”, destaca Adam Patterson.</w:t>
      </w:r>
    </w:p>
    <w:p w14:paraId="734EEBE1" w14:textId="77777777" w:rsidR="00595053" w:rsidRPr="00133A25" w:rsidRDefault="00595053" w:rsidP="00595053">
      <w:pPr>
        <w:pStyle w:val="NormalWeb"/>
        <w:jc w:val="both"/>
        <w:rPr>
          <w:rStyle w:val="Forte"/>
          <w:sz w:val="22"/>
          <w:szCs w:val="22"/>
        </w:rPr>
      </w:pPr>
      <w:r w:rsidRPr="00133A25">
        <w:rPr>
          <w:rStyle w:val="Forte"/>
          <w:sz w:val="22"/>
          <w:szCs w:val="22"/>
        </w:rPr>
        <w:lastRenderedPageBreak/>
        <w:t>Sobre a Redirection International</w:t>
      </w:r>
    </w:p>
    <w:p w14:paraId="35BC021D" w14:textId="77777777" w:rsidR="00595053" w:rsidRPr="006C263A" w:rsidRDefault="00595053" w:rsidP="00595053">
      <w:pPr>
        <w:pStyle w:val="NormalWeb"/>
        <w:jc w:val="both"/>
      </w:pPr>
      <w:r w:rsidRPr="00133A25">
        <w:rPr>
          <w:sz w:val="22"/>
          <w:szCs w:val="22"/>
        </w:rPr>
        <w:t xml:space="preserve">A Redirection é uma consultoria especializada em assessoria de Fusões &amp; Aquisições para empresas locais e internacionais do </w:t>
      </w:r>
      <w:r w:rsidRPr="00133A25">
        <w:rPr>
          <w:rStyle w:val="nfase"/>
          <w:sz w:val="22"/>
          <w:szCs w:val="22"/>
        </w:rPr>
        <w:t>middle market</w:t>
      </w:r>
      <w:r w:rsidRPr="00133A25">
        <w:rPr>
          <w:sz w:val="22"/>
          <w:szCs w:val="22"/>
        </w:rPr>
        <w:t xml:space="preserve">. Possui uma grande experiência em transações </w:t>
      </w:r>
      <w:r w:rsidRPr="00133A25">
        <w:rPr>
          <w:rStyle w:val="nfase"/>
          <w:sz w:val="22"/>
          <w:szCs w:val="22"/>
        </w:rPr>
        <w:t>cross-border</w:t>
      </w:r>
      <w:r w:rsidRPr="00133A25">
        <w:rPr>
          <w:sz w:val="22"/>
          <w:szCs w:val="22"/>
        </w:rPr>
        <w:t>, com equipe atuante diretamente no Brasil, América Latina, Estados Unidos e Reino Unido. É membro da ACG e, também, desenvolve uma rede de parceiros selecionados em todos os principais setores de negócios e regiões do mundo.  </w:t>
      </w:r>
      <w:hyperlink r:id="rId8" w:history="1">
        <w:r w:rsidRPr="00133A25">
          <w:rPr>
            <w:rStyle w:val="Hyperlink"/>
            <w:rFonts w:eastAsiaTheme="majorEastAsia"/>
            <w:sz w:val="22"/>
            <w:szCs w:val="22"/>
          </w:rPr>
          <w:t>https://www.redirection.com.br/</w:t>
        </w:r>
      </w:hyperlink>
    </w:p>
    <w:p w14:paraId="36C9B5C4" w14:textId="77777777" w:rsidR="00595053" w:rsidRDefault="00595053" w:rsidP="0059505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sectPr w:rsidR="00595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15E1"/>
    <w:multiLevelType w:val="hybridMultilevel"/>
    <w:tmpl w:val="33BAF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62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2A"/>
    <w:rsid w:val="00032910"/>
    <w:rsid w:val="000461BC"/>
    <w:rsid w:val="00156D37"/>
    <w:rsid w:val="00184725"/>
    <w:rsid w:val="00185D03"/>
    <w:rsid w:val="001F5640"/>
    <w:rsid w:val="0020740A"/>
    <w:rsid w:val="002564BA"/>
    <w:rsid w:val="002B047E"/>
    <w:rsid w:val="002C443D"/>
    <w:rsid w:val="0032784B"/>
    <w:rsid w:val="00333825"/>
    <w:rsid w:val="00362EEC"/>
    <w:rsid w:val="003B4152"/>
    <w:rsid w:val="003F000F"/>
    <w:rsid w:val="00444281"/>
    <w:rsid w:val="004C3A84"/>
    <w:rsid w:val="004C7B7D"/>
    <w:rsid w:val="00516E3C"/>
    <w:rsid w:val="0053047E"/>
    <w:rsid w:val="0054346D"/>
    <w:rsid w:val="00595053"/>
    <w:rsid w:val="006046DB"/>
    <w:rsid w:val="00683023"/>
    <w:rsid w:val="006C1685"/>
    <w:rsid w:val="00716E08"/>
    <w:rsid w:val="00762C98"/>
    <w:rsid w:val="007D7B8C"/>
    <w:rsid w:val="00846E50"/>
    <w:rsid w:val="00895B29"/>
    <w:rsid w:val="008B379F"/>
    <w:rsid w:val="00950C38"/>
    <w:rsid w:val="00987BA9"/>
    <w:rsid w:val="009A2137"/>
    <w:rsid w:val="009B683F"/>
    <w:rsid w:val="00A21B2A"/>
    <w:rsid w:val="00A67101"/>
    <w:rsid w:val="00AB31B7"/>
    <w:rsid w:val="00AE6A72"/>
    <w:rsid w:val="00B36AD4"/>
    <w:rsid w:val="00B92A67"/>
    <w:rsid w:val="00BE6E7F"/>
    <w:rsid w:val="00CA6488"/>
    <w:rsid w:val="00CE243A"/>
    <w:rsid w:val="00D32A3A"/>
    <w:rsid w:val="00DB6809"/>
    <w:rsid w:val="00E86AF1"/>
    <w:rsid w:val="00EA56A8"/>
    <w:rsid w:val="00EB22AC"/>
    <w:rsid w:val="00EC6E87"/>
    <w:rsid w:val="00F14BED"/>
    <w:rsid w:val="00F2591F"/>
    <w:rsid w:val="00F94947"/>
    <w:rsid w:val="00FA15E9"/>
    <w:rsid w:val="00FA5C1C"/>
    <w:rsid w:val="00FB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081F"/>
  <w15:chartTrackingRefBased/>
  <w15:docId w15:val="{70813881-46F4-498E-9E95-989FF470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21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1B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54346D"/>
    <w:pPr>
      <w:ind w:left="720"/>
      <w:contextualSpacing/>
    </w:pPr>
  </w:style>
  <w:style w:type="paragraph" w:styleId="SemEspaamento">
    <w:name w:val="No Spacing"/>
    <w:uiPriority w:val="1"/>
    <w:qFormat/>
    <w:rsid w:val="00516E3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9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9505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95053"/>
    <w:rPr>
      <w:i/>
      <w:iCs/>
    </w:rPr>
  </w:style>
  <w:style w:type="character" w:styleId="Forte">
    <w:name w:val="Strong"/>
    <w:basedOn w:val="Fontepargpadro"/>
    <w:uiPriority w:val="22"/>
    <w:qFormat/>
    <w:rsid w:val="00595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irection.com.b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lcf76f155ced4ddcb4097134ff3c332f xmlns="8fc8a7d4-1fb1-4e67-85fd-ed52956ffcfa">
      <Terms xmlns="http://schemas.microsoft.com/office/infopath/2007/PartnerControls"/>
    </lcf76f155ced4ddcb4097134ff3c332f>
    <Ratings xmlns="http://schemas.microsoft.com/sharepoint/v3" xsi:nil="true"/>
    <TaxCatchAll xmlns="1d407bab-1192-438c-a5ac-4611ec20c196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200AAD527F194C8FA5C74C1BC30F85" ma:contentTypeVersion="26" ma:contentTypeDescription="Crie um novo documento." ma:contentTypeScope="" ma:versionID="983e00b0e4d365a4e65c57ae90666c8c">
  <xsd:schema xmlns:xsd="http://www.w3.org/2001/XMLSchema" xmlns:xs="http://www.w3.org/2001/XMLSchema" xmlns:p="http://schemas.microsoft.com/office/2006/metadata/properties" xmlns:ns1="http://schemas.microsoft.com/sharepoint/v3" xmlns:ns2="1f9da3cf-5a3e-4e29-a2bc-1bfec4d2d237" xmlns:ns3="8fc8a7d4-1fb1-4e67-85fd-ed52956ffcfa" xmlns:ns4="1d407bab-1192-438c-a5ac-4611ec20c196" targetNamespace="http://schemas.microsoft.com/office/2006/metadata/properties" ma:root="true" ma:fieldsID="7ad8063eefc8aaf814140ffaa193a0f4" ns1:_="" ns2:_="" ns3:_="" ns4:_="">
    <xsd:import namespace="http://schemas.microsoft.com/sharepoint/v3"/>
    <xsd:import namespace="1f9da3cf-5a3e-4e29-a2bc-1bfec4d2d237"/>
    <xsd:import namespace="8fc8a7d4-1fb1-4e67-85fd-ed52956ffcfa"/>
    <xsd:import namespace="1d407bab-1192-438c-a5ac-4611ec20c196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2:SharedWithUsers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Classificação (0-5)" ma:decimals="2" ma:description="Valor médio de todas as classificações enviadas" ma:indexed="true" ma:internalName="AverageRating" ma:readOnly="true">
      <xsd:simpleType>
        <xsd:restriction base="dms:Number"/>
      </xsd:simpleType>
    </xsd:element>
    <xsd:element name="RatingCount" ma:index="9" nillable="true" ma:displayName="Número de Classificações" ma:decimals="0" ma:description="Número de classificações enviadas" ma:internalName="RatingCount" ma:readOnly="true">
      <xsd:simpleType>
        <xsd:restriction base="dms:Number"/>
      </xsd:simpleType>
    </xsd:element>
    <xsd:element name="RatedBy" ma:index="11" nillable="true" ma:displayName="Classificado por" ma:description="Usuários classificaram o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Classificações de usuários" ma:description="Classificações de usuários para o item" ma:hidden="true" ma:internalName="Ratings">
      <xsd:simpleType>
        <xsd:restriction base="dms:Note"/>
      </xsd:simpleType>
    </xsd:element>
    <xsd:element name="LikesCount" ma:index="13" nillable="true" ma:displayName="Número de Ocorrências de Curtir" ma:internalName="LikesCount">
      <xsd:simpleType>
        <xsd:restriction base="dms:Unknown"/>
      </xsd:simpleType>
    </xsd:element>
    <xsd:element name="LikedBy" ma:index="14" nillable="true" ma:displayName="Curtido po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da3cf-5a3e-4e29-a2bc-1bfec4d2d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8a7d4-1fb1-4e67-85fd-ed52956ff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9a6d94-9cec-4a1f-a112-71fa87fd8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07bab-1192-438c-a5ac-4611ec20c196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39ea6d12-0052-4d1c-a364-6918cc2c0ddc}" ma:internalName="TaxCatchAll" ma:showField="CatchAllData" ma:web="1d407bab-1192-438c-a5ac-4611ec20c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B5105-1791-4383-84DA-73C0EABBAE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fc8a7d4-1fb1-4e67-85fd-ed52956ffcfa"/>
    <ds:schemaRef ds:uri="1d407bab-1192-438c-a5ac-4611ec20c196"/>
  </ds:schemaRefs>
</ds:datastoreItem>
</file>

<file path=customXml/itemProps2.xml><?xml version="1.0" encoding="utf-8"?>
<ds:datastoreItem xmlns:ds="http://schemas.openxmlformats.org/officeDocument/2006/customXml" ds:itemID="{3DE60340-F59C-4D58-833C-97483E4A8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FF9A5-68E6-462D-941B-8FF03508D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9da3cf-5a3e-4e29-a2bc-1bfec4d2d237"/>
    <ds:schemaRef ds:uri="8fc8a7d4-1fb1-4e67-85fd-ed52956ffcfa"/>
    <ds:schemaRef ds:uri="1d407bab-1192-438c-a5ac-4611ec20c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629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Patterson | Redirection</dc:creator>
  <cp:keywords/>
  <dc:description/>
  <cp:lastModifiedBy>Karina Lançoni Bernardi</cp:lastModifiedBy>
  <cp:revision>8</cp:revision>
  <dcterms:created xsi:type="dcterms:W3CDTF">2023-08-01T21:01:00Z</dcterms:created>
  <dcterms:modified xsi:type="dcterms:W3CDTF">2023-08-03T16:34:00Z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0x010100E7200AAD527F194C8FA5C74C1BC30F85</vt:lpwstr>
  </property>
</Properties>
</file>