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27CD" w14:textId="2326B0DD" w:rsidR="000D7468" w:rsidRPr="00902C11" w:rsidRDefault="000D7468" w:rsidP="00533DD8">
      <w:pPr>
        <w:pStyle w:val="SemEspaamento"/>
        <w:jc w:val="center"/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Mercado </w:t>
      </w:r>
      <w:r w:rsidR="00015178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brasileiro </w:t>
      </w:r>
      <w:r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de </w:t>
      </w:r>
      <w:r w:rsidR="00411670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m</w:t>
      </w:r>
      <w:r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edicina </w:t>
      </w:r>
      <w:r w:rsidR="00411670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r</w:t>
      </w:r>
      <w:r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eprodutiva dev</w:t>
      </w:r>
      <w:r w:rsidR="00902C11"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e</w:t>
      </w:r>
      <w:r w:rsidR="00015178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</w:t>
      </w:r>
      <w:r w:rsidR="00015178" w:rsidRPr="00902C11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crescer 23% ao ano até 2026</w:t>
      </w:r>
      <w:r w:rsidR="00015178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e registrar mais Fusões e Aquisições</w:t>
      </w:r>
    </w:p>
    <w:p w14:paraId="7F7D4F97" w14:textId="32222411" w:rsidR="000D7468" w:rsidRPr="00902C11" w:rsidRDefault="000D7468" w:rsidP="00533DD8">
      <w:pPr>
        <w:pStyle w:val="SemEspaamento"/>
        <w:jc w:val="center"/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</w:pP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Estudo inédito da Redirection International aponta que setor </w:t>
      </w:r>
      <w:r w:rsidR="009E6499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movimenta</w:t>
      </w:r>
      <w:r w:rsidR="009E6499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cerca de R$ 1,3 bilhão </w:t>
      </w:r>
      <w:r w:rsidR="00902C11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no Brasil 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e pode chegar a R$ </w:t>
      </w:r>
      <w:r w:rsidR="00C65B85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3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bilhões nos próximos</w:t>
      </w:r>
      <w:r w:rsidR="00902C11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três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anos</w:t>
      </w:r>
      <w:r w:rsidR="00533DD8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; consolidação do mercado será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impulsionad</w:t>
      </w:r>
      <w:r w:rsidR="00533DD8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a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por </w:t>
      </w:r>
      <w:r w:rsidR="00902C11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f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usões e</w:t>
      </w:r>
      <w:r w:rsidR="00902C11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a</w:t>
      </w:r>
      <w:r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quisições</w:t>
      </w:r>
      <w:r w:rsidR="00902C11" w:rsidRPr="00902C11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 e formação de grupos regionais</w:t>
      </w:r>
    </w:p>
    <w:p w14:paraId="3BB88F29" w14:textId="77777777" w:rsidR="000D7468" w:rsidRPr="00902C11" w:rsidRDefault="000D7468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1418408" w14:textId="2438BD56" w:rsidR="00BA2361" w:rsidRDefault="000D7468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O setor de </w:t>
      </w:r>
      <w:r w:rsidR="00411670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m</w:t>
      </w:r>
      <w:r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edicina </w:t>
      </w:r>
      <w:r w:rsidR="00411670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r</w:t>
      </w:r>
      <w:r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eprodutiva deve 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intensificar as atividades de fusões e aquisições (M&amp;A) e </w:t>
      </w:r>
      <w:r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crescer 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em média </w:t>
      </w:r>
      <w:r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23% ao ano até 2026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no Brasil, segundo um estudo inédito realizado pela Redirection International, </w:t>
      </w:r>
      <w:r w:rsidR="00BA236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empresa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especializada em assessoria de fusões e aquisições. O estudo foi feito a partir de modelos econômicos e estatísticos, com base nos dados globais e nacionais do setor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 aponta que 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atualmente 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o mercado brasileiro </w:t>
      </w:r>
      <w:r w:rsidR="006A781F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movimenta </w:t>
      </w:r>
      <w:r w:rsidR="00902C11" w:rsidRPr="00902C1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cerca de R$ 1,3 bilhão</w:t>
      </w:r>
      <w:r w:rsidR="00BA236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 chegará ao final de 2026 </w:t>
      </w:r>
      <w:r w:rsidR="006A781F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com </w:t>
      </w:r>
      <w:r w:rsidR="00BA236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pouco mais de R$ </w:t>
      </w:r>
      <w:r w:rsidR="00C65B85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3</w:t>
      </w:r>
      <w:r w:rsidR="00BA2361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bilhões.</w:t>
      </w:r>
    </w:p>
    <w:p w14:paraId="03D9952E" w14:textId="685F3FAC" w:rsidR="00BA2361" w:rsidRDefault="00BA2361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7AED44A5" w14:textId="19C14581" w:rsidR="00BA2361" w:rsidRDefault="00BA2361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De acordo com a Rede Latino-Americana de Reprodução Assistida (REDLARA), o Brasil lidera o ranking de </w:t>
      </w:r>
      <w:r w:rsidR="0054418D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f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ertilização in </w:t>
      </w:r>
      <w:r w:rsidR="0054418D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v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itro (FIV), inseminação artificial e transferência de embriões </w:t>
      </w:r>
      <w:r w:rsidR="003B534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 concentra 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40%</w:t>
      </w:r>
      <w:r w:rsidR="003B534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de todos os centros de reprodução assistida da 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América Latina</w:t>
      </w:r>
      <w:r w:rsidR="003B534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. “Apesar de ser o líder regional, o mercado brasileiro de fertilidade ainda está em fase inicial de consolidação, diferente de outros segmentos do setor de saúde, o que abre oportunidades para atividades de fusões e aquisições e para a formação de 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grandes </w:t>
      </w:r>
      <w:r w:rsidR="003B534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grupos </w:t>
      </w:r>
      <w:r w:rsidR="006A781F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nacionais</w:t>
      </w:r>
      <w:r w:rsidR="003B534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”, destaca o economista Vinicius Oliveira, sócio da Redirection International e um dos responsáveis pelo estudo.</w:t>
      </w:r>
    </w:p>
    <w:p w14:paraId="0190F6DC" w14:textId="3C1001DB" w:rsidR="003B534C" w:rsidRDefault="003B534C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A9C648F" w14:textId="18ECD8FD" w:rsidR="003B534C" w:rsidRDefault="003B534C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O levantamento aponta ainda que a maioria dos centros de reprodução assistida estão concentrados na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regi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ões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udeste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 Sul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do Brasil e que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até 2021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quatro estados brasileiros não possuíam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nenhuma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clínica ou laboratório especializado em fertilidade. </w:t>
      </w:r>
    </w:p>
    <w:p w14:paraId="08B380C0" w14:textId="77777777" w:rsidR="00C5710C" w:rsidRDefault="00C5710C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ADB5956" w14:textId="7FD703CF" w:rsidR="000C5659" w:rsidRDefault="00C5710C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“Observamos que o mercado é altamente fragmentado e sem grupos em posição de liderança nacional. Por isso, há espaço para que as clínicas que atuam hoje de modo local se preparem para possíveis transações de 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M&amp;A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visando se tornarem líder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es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em sua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s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regi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ões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ou serem consolidadas por essas líderes que estão começando a se formar no mercado brasileiro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”, explica Vinicius Oliveira.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Entre as vantagens desta 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consolidação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, </w:t>
      </w:r>
      <w:r w:rsidR="000C565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o estudo aponta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a redução de custos operacionais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, devido </w:t>
      </w:r>
      <w:r w:rsidR="009E649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à</w:t>
      </w:r>
      <w:r w:rsidR="009E649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maior escala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e maior poder de negociação com fornecedores; aumento da capacidade de investimentos em novas unidades, equipamentos e marketing; </w:t>
      </w:r>
      <w:r w:rsidR="000C565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possibilidade de 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oferecer</w:t>
      </w:r>
      <w:r w:rsidR="000C565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financiament</w:t>
      </w:r>
      <w:r w:rsidR="000C565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os dos tratamentos d</w:t>
      </w:r>
      <w:r w:rsidR="00015178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os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clientes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aumentando o volume e acesso desses pacientes ao serviço.</w:t>
      </w:r>
    </w:p>
    <w:p w14:paraId="3292CEAA" w14:textId="77777777" w:rsidR="00C5710C" w:rsidRDefault="00C5710C" w:rsidP="00902C11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2669B01" w14:textId="06246B36" w:rsidR="0067585B" w:rsidRDefault="000C5659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Vinicius Oliveira</w:t>
      </w:r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relembra 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algumas </w:t>
      </w:r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movimentações recentes no mercado que apontam para 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a consolidação de grandes grupos no setor</w:t>
      </w:r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, como por exemplo, a aquisição de cinco clínicas de reprodução assistida pelo Fundo de Private </w:t>
      </w:r>
      <w:proofErr w:type="spellStart"/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Equity</w:t>
      </w:r>
      <w:proofErr w:type="spellEnd"/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da XP, anunciada 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no início</w:t>
      </w:r>
      <w:r w:rsidR="00C5710C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deste an</w:t>
      </w:r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o. Outro player que já possui histórico de aquisições no setor é o Grupo Huntington que somente no ano passado adquiriu a </w:t>
      </w:r>
      <w:proofErr w:type="spellStart"/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Cenafert</w:t>
      </w:r>
      <w:proofErr w:type="spellEnd"/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(Bahia) e a </w:t>
      </w:r>
      <w:proofErr w:type="spellStart"/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FertilCare</w:t>
      </w:r>
      <w:proofErr w:type="spellEnd"/>
      <w:r w:rsidR="0067585B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de Brasília.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“As estratégias que se revelam para muitos dos grandes grupos de saúde é a expansão para um modelo </w:t>
      </w:r>
      <w:r w:rsidRPr="00C45F5F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 xml:space="preserve">full </w:t>
      </w:r>
      <w:proofErr w:type="spellStart"/>
      <w:r w:rsidRPr="00C45F5F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servi</w:t>
      </w:r>
      <w:r w:rsidR="00C45F5F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c</w:t>
      </w:r>
      <w:r w:rsidRPr="00C45F5F">
        <w:rPr>
          <w:rStyle w:val="Ttulo1Char"/>
          <w:rFonts w:ascii="Times New Roman" w:eastAsiaTheme="minorHAnsi" w:hAnsi="Times New Roman" w:cs="Times New Roman"/>
          <w:i/>
          <w:iCs/>
          <w:color w:val="auto"/>
          <w:sz w:val="24"/>
          <w:szCs w:val="24"/>
        </w:rPr>
        <w:t>e</w:t>
      </w:r>
      <w:proofErr w:type="spellEnd"/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em que a empresa possa atender as mais diversas demandas de seus pacientes”, destaca.</w:t>
      </w:r>
    </w:p>
    <w:p w14:paraId="308B7F87" w14:textId="77777777" w:rsidR="000C5659" w:rsidRDefault="000C5659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386F420E" w14:textId="05F92434" w:rsidR="000C5659" w:rsidRPr="000C5659" w:rsidRDefault="000C5659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</w:pPr>
      <w:r w:rsidRPr="000C5659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Fertilização </w:t>
      </w:r>
      <w:r w:rsidR="00411670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>in vitro</w:t>
      </w:r>
      <w:r w:rsidRPr="000C5659">
        <w:rPr>
          <w:rStyle w:val="Ttulo1Char"/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 é a principal técnica no Brasil</w:t>
      </w:r>
    </w:p>
    <w:p w14:paraId="5AF91118" w14:textId="443D788D" w:rsidR="000C5659" w:rsidRDefault="000C5659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De acordo com o estudo da Redirection International, a </w:t>
      </w:r>
      <w:r w:rsidR="0054418D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f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ertilização </w:t>
      </w:r>
      <w:r w:rsidR="0054418D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i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n </w:t>
      </w:r>
      <w:r w:rsidR="0054418D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vi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tro (FIV) responde por </w:t>
      </w:r>
      <w:r w:rsidR="00876B2A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2/3 (dois terços)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do mercado brasileiro de reprodução assistida, </w:t>
      </w:r>
      <w:r w:rsidR="0046045E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movimentando 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cerca de R$ 900 milhões</w:t>
      </w:r>
      <w:r w:rsidR="009E649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por ano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. A técnica resulta em taxas de gravidez 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lastRenderedPageBreak/>
        <w:t>mais elevadas por ciclo, reduzindo o custo médio e tonando o serviço mais acessível à população</w:t>
      </w:r>
      <w:r w:rsidR="00C45F5F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segundo o relatório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.</w:t>
      </w:r>
    </w:p>
    <w:p w14:paraId="1AEF18A3" w14:textId="77777777" w:rsidR="001D1D5D" w:rsidRDefault="001D1D5D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2566825A" w14:textId="7DA0ABB1" w:rsidR="00894BF0" w:rsidRDefault="00894BF0" w:rsidP="00894BF0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“Entre os principais fatores para a alta demanda do mercado de medicina reprodutiva estão a mudança cultural para ter filhos mais tarde, o estilo de vida e os problemas de saúde que impactam a taxa de fertilidade da população que, em geral tem o desejo de constituir família e sofre a pressão do relógio biológico. Além 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destes fatores sociais que tendem a aumentar o crescimento do setor, investidores e outras empresas de saúde olham com bons olhos o segmento de reprodução assistida</w:t>
      </w:r>
      <w:r w:rsidR="009E649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por ter b</w:t>
      </w:r>
      <w:r w:rsidR="00993564" w:rsidRP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aixa participação da assistência pública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como o SUS,</w:t>
      </w:r>
      <w:r w:rsidR="00993564" w:rsidRP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e também</w:t>
      </w:r>
      <w:proofErr w:type="gramEnd"/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de planos de saúde, tendo a</w:t>
      </w:r>
      <w:r w:rsidR="00993564" w:rsidRP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prevalência </w:t>
      </w:r>
      <w:r w:rsidR="00993564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de tratamentos particulares</w:t>
      </w:r>
      <w:r w:rsidR="009E6499"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”</w:t>
      </w: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, explica Vinicius Oliveira.</w:t>
      </w:r>
    </w:p>
    <w:p w14:paraId="611E60CB" w14:textId="77777777" w:rsidR="00894BF0" w:rsidRDefault="00894BF0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6B27F7A4" w14:textId="68A37076" w:rsidR="001D1D5D" w:rsidRDefault="001D1D5D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Dados do 14º Relatório do Sistema Nacional de Produção de Embriões (</w:t>
      </w:r>
      <w:proofErr w:type="spellStart"/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SisEmbrio</w:t>
      </w:r>
      <w:proofErr w:type="spellEnd"/>
      <w:r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  <w:t>) apontam que em 2020 foram realizados 34.623 procedimentos de fertilização in vitro no Brasil, volume que aumentou em 2021, com 45.952 ciclos. O relatório aponta ainda que em 2020 e 2021 foram congelados mais de 202 mil embriões e 154.630 óvulos e registradas mais de 36 mil gestações clínicas a partir de técnicas de reprodução humana assistida.</w:t>
      </w:r>
    </w:p>
    <w:p w14:paraId="37850A13" w14:textId="77777777" w:rsidR="001D1D5D" w:rsidRDefault="001D1D5D" w:rsidP="000C5659">
      <w:pPr>
        <w:pStyle w:val="SemEspaamento"/>
        <w:jc w:val="both"/>
        <w:rPr>
          <w:rStyle w:val="Ttulo1Char"/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7C84C13" w14:textId="77777777" w:rsidR="0030250C" w:rsidRPr="00133A25" w:rsidRDefault="0030250C" w:rsidP="0030250C">
      <w:pPr>
        <w:pStyle w:val="NormalWeb"/>
        <w:jc w:val="both"/>
        <w:rPr>
          <w:rStyle w:val="Forte"/>
          <w:sz w:val="22"/>
          <w:szCs w:val="22"/>
        </w:rPr>
      </w:pPr>
      <w:r w:rsidRPr="00133A25">
        <w:rPr>
          <w:rStyle w:val="Forte"/>
          <w:sz w:val="22"/>
          <w:szCs w:val="22"/>
        </w:rPr>
        <w:t>Sobre a Redirection International</w:t>
      </w:r>
    </w:p>
    <w:p w14:paraId="7A1B356A" w14:textId="77777777" w:rsidR="0030250C" w:rsidRPr="006C263A" w:rsidRDefault="0030250C" w:rsidP="0030250C">
      <w:pPr>
        <w:pStyle w:val="NormalWeb"/>
        <w:jc w:val="both"/>
      </w:pPr>
      <w:r w:rsidRPr="00133A25">
        <w:rPr>
          <w:sz w:val="22"/>
          <w:szCs w:val="22"/>
        </w:rPr>
        <w:t xml:space="preserve">A Redirection é uma consultoria especializada em assessoria de Fusões &amp; Aquisições para empresas locais e internacionais do </w:t>
      </w:r>
      <w:proofErr w:type="spellStart"/>
      <w:r w:rsidRPr="00133A25">
        <w:rPr>
          <w:rStyle w:val="nfase"/>
          <w:sz w:val="22"/>
          <w:szCs w:val="22"/>
        </w:rPr>
        <w:t>middle</w:t>
      </w:r>
      <w:proofErr w:type="spellEnd"/>
      <w:r w:rsidRPr="00133A25">
        <w:rPr>
          <w:rStyle w:val="nfase"/>
          <w:sz w:val="22"/>
          <w:szCs w:val="22"/>
        </w:rPr>
        <w:t xml:space="preserve"> </w:t>
      </w:r>
      <w:proofErr w:type="spellStart"/>
      <w:r w:rsidRPr="00133A25">
        <w:rPr>
          <w:rStyle w:val="nfase"/>
          <w:sz w:val="22"/>
          <w:szCs w:val="22"/>
        </w:rPr>
        <w:t>market</w:t>
      </w:r>
      <w:proofErr w:type="spellEnd"/>
      <w:r w:rsidRPr="00133A25">
        <w:rPr>
          <w:sz w:val="22"/>
          <w:szCs w:val="22"/>
        </w:rPr>
        <w:t xml:space="preserve">. Possui uma grande experiência em transações </w:t>
      </w:r>
      <w:proofErr w:type="spellStart"/>
      <w:r w:rsidRPr="00133A25">
        <w:rPr>
          <w:rStyle w:val="nfase"/>
          <w:sz w:val="22"/>
          <w:szCs w:val="22"/>
        </w:rPr>
        <w:t>cross-border</w:t>
      </w:r>
      <w:proofErr w:type="spellEnd"/>
      <w:r w:rsidRPr="00133A25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6" w:history="1">
        <w:r w:rsidRPr="00133A25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3FD36392" w14:textId="6574243C" w:rsidR="00DF65C3" w:rsidRPr="00DF65C3" w:rsidRDefault="00DF65C3" w:rsidP="00DF65C3">
      <w:pPr>
        <w:jc w:val="both"/>
      </w:pPr>
    </w:p>
    <w:sectPr w:rsidR="00DF65C3" w:rsidRPr="00DF6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910"/>
    <w:multiLevelType w:val="hybridMultilevel"/>
    <w:tmpl w:val="4A840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060A"/>
    <w:multiLevelType w:val="hybridMultilevel"/>
    <w:tmpl w:val="96B88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545F"/>
    <w:multiLevelType w:val="hybridMultilevel"/>
    <w:tmpl w:val="EAFA2B16"/>
    <w:lvl w:ilvl="0" w:tplc="48821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4A3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928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A69A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8D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A8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226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4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EEAA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F2950"/>
    <w:multiLevelType w:val="hybridMultilevel"/>
    <w:tmpl w:val="5D4ED3FE"/>
    <w:lvl w:ilvl="0" w:tplc="2E0A9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47B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4CA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C79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4D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2D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A10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8B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D8D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781E"/>
    <w:multiLevelType w:val="hybridMultilevel"/>
    <w:tmpl w:val="B8D4182C"/>
    <w:lvl w:ilvl="0" w:tplc="CA5A6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1C99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85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38BB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6B1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FCF1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EFD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EBA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4CC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021C3"/>
    <w:multiLevelType w:val="hybridMultilevel"/>
    <w:tmpl w:val="F0603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1CAB"/>
    <w:multiLevelType w:val="hybridMultilevel"/>
    <w:tmpl w:val="0CE29EBE"/>
    <w:lvl w:ilvl="0" w:tplc="862604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C72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4F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9E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1640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0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C89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64C0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CC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7601677">
    <w:abstractNumId w:val="3"/>
  </w:num>
  <w:num w:numId="2" w16cid:durableId="712079986">
    <w:abstractNumId w:val="2"/>
  </w:num>
  <w:num w:numId="3" w16cid:durableId="583956948">
    <w:abstractNumId w:val="6"/>
  </w:num>
  <w:num w:numId="4" w16cid:durableId="740374335">
    <w:abstractNumId w:val="4"/>
  </w:num>
  <w:num w:numId="5" w16cid:durableId="439495986">
    <w:abstractNumId w:val="0"/>
  </w:num>
  <w:num w:numId="6" w16cid:durableId="135877277">
    <w:abstractNumId w:val="1"/>
  </w:num>
  <w:num w:numId="7" w16cid:durableId="1193373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FF4"/>
    <w:rsid w:val="00015178"/>
    <w:rsid w:val="000C5659"/>
    <w:rsid w:val="000D0450"/>
    <w:rsid w:val="000D7468"/>
    <w:rsid w:val="00140DF4"/>
    <w:rsid w:val="001D1D5D"/>
    <w:rsid w:val="002F1F74"/>
    <w:rsid w:val="0030250C"/>
    <w:rsid w:val="00304DCA"/>
    <w:rsid w:val="00344C83"/>
    <w:rsid w:val="003B534C"/>
    <w:rsid w:val="003C3C75"/>
    <w:rsid w:val="00401D57"/>
    <w:rsid w:val="00404B81"/>
    <w:rsid w:val="00411670"/>
    <w:rsid w:val="00452AAE"/>
    <w:rsid w:val="0046045E"/>
    <w:rsid w:val="00533DD8"/>
    <w:rsid w:val="0054418D"/>
    <w:rsid w:val="006328ED"/>
    <w:rsid w:val="0067585B"/>
    <w:rsid w:val="006A781F"/>
    <w:rsid w:val="00796CBA"/>
    <w:rsid w:val="00800F5F"/>
    <w:rsid w:val="00876B2A"/>
    <w:rsid w:val="00894BF0"/>
    <w:rsid w:val="00897644"/>
    <w:rsid w:val="008C0ADF"/>
    <w:rsid w:val="008D4482"/>
    <w:rsid w:val="00902C11"/>
    <w:rsid w:val="0095470E"/>
    <w:rsid w:val="00975032"/>
    <w:rsid w:val="0098153F"/>
    <w:rsid w:val="00993564"/>
    <w:rsid w:val="009A2B7D"/>
    <w:rsid w:val="009D1FF4"/>
    <w:rsid w:val="009E6499"/>
    <w:rsid w:val="00AE24AB"/>
    <w:rsid w:val="00B411BA"/>
    <w:rsid w:val="00BA2361"/>
    <w:rsid w:val="00C3121E"/>
    <w:rsid w:val="00C45F5F"/>
    <w:rsid w:val="00C5710C"/>
    <w:rsid w:val="00C65B85"/>
    <w:rsid w:val="00DE4A8C"/>
    <w:rsid w:val="00DF65C3"/>
    <w:rsid w:val="00E005E1"/>
    <w:rsid w:val="00F24E76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1746"/>
  <w15:chartTrackingRefBased/>
  <w15:docId w15:val="{EB275E46-BEB3-48A1-A511-7A930858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54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4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47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547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e">
    <w:name w:val="Emphasis"/>
    <w:basedOn w:val="Fontepargpadro"/>
    <w:uiPriority w:val="20"/>
    <w:qFormat/>
    <w:rsid w:val="00975032"/>
    <w:rPr>
      <w:i/>
      <w:iCs/>
    </w:rPr>
  </w:style>
  <w:style w:type="paragraph" w:styleId="PargrafodaLista">
    <w:name w:val="List Paragraph"/>
    <w:basedOn w:val="Normal"/>
    <w:uiPriority w:val="34"/>
    <w:qFormat/>
    <w:rsid w:val="00DF65C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65C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F65C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0D7468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C5710C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585B"/>
    <w:rPr>
      <w:b/>
      <w:bCs/>
    </w:rPr>
  </w:style>
  <w:style w:type="paragraph" w:customStyle="1" w:styleId="paragraph">
    <w:name w:val="paragraph"/>
    <w:basedOn w:val="Normal"/>
    <w:rsid w:val="001D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1D1D5D"/>
  </w:style>
  <w:style w:type="character" w:customStyle="1" w:styleId="eop">
    <w:name w:val="eop"/>
    <w:basedOn w:val="Fontepargpadro"/>
    <w:rsid w:val="001D1D5D"/>
  </w:style>
  <w:style w:type="paragraph" w:styleId="NormalWeb">
    <w:name w:val="Normal (Web)"/>
    <w:basedOn w:val="Normal"/>
    <w:uiPriority w:val="99"/>
    <w:unhideWhenUsed/>
    <w:rsid w:val="0030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eviso">
    <w:name w:val="Revision"/>
    <w:hidden/>
    <w:uiPriority w:val="99"/>
    <w:semiHidden/>
    <w:rsid w:val="006A781F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6A78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A78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A78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78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78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5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61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8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57">
          <w:marLeft w:val="374"/>
          <w:marRight w:val="115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6021">
          <w:marLeft w:val="374"/>
          <w:marRight w:val="115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189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515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696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79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971">
          <w:marLeft w:val="3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3871">
          <w:marLeft w:val="374"/>
          <w:marRight w:val="115"/>
          <w:marTop w:val="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direction.com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5504-FB4A-4773-966F-EB349D76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Oliveira | Redirection</dc:creator>
  <cp:keywords/>
  <dc:description/>
  <cp:lastModifiedBy>Karina Lançoni Bernardi</cp:lastModifiedBy>
  <cp:revision>4</cp:revision>
  <dcterms:created xsi:type="dcterms:W3CDTF">2023-06-15T19:22:00Z</dcterms:created>
  <dcterms:modified xsi:type="dcterms:W3CDTF">2023-06-15T20:02:00Z</dcterms:modified>
</cp:coreProperties>
</file>