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E140" w14:textId="77777777" w:rsidR="00F00BA5" w:rsidRPr="00F00BA5" w:rsidRDefault="00F00BA5" w:rsidP="00F0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Acompanhando tendência global, Fusões &amp; Aquisições no setor de Nutrição Animal crescem no Brasil</w:t>
      </w:r>
    </w:p>
    <w:p w14:paraId="2F673AAE" w14:textId="77777777" w:rsidR="00F00BA5" w:rsidRPr="00F00BA5" w:rsidRDefault="00F00BA5" w:rsidP="00F0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Mercado brasileiro é o terceiro maior produtor de rações do mundo e registrou crescimento de 4% no volume produzido no ano passado</w:t>
      </w:r>
    </w:p>
    <w:p w14:paraId="2642E44D" w14:textId="77777777" w:rsidR="00F00BA5" w:rsidRPr="00F00BA5" w:rsidRDefault="00F00BA5" w:rsidP="00F0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3D3590" w14:textId="77777777" w:rsidR="00F00BA5" w:rsidRPr="00F00BA5" w:rsidRDefault="00F00BA5" w:rsidP="00F0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crescente demanda por alimentos seguros e nutritivos para criações e o aumento do consumo mundial de proteínas impulsionam o mercado brasileiro de nutrição animal. Segundo dados do Sindicato Nacional da Indústria de Alimentação Animal (</w:t>
      </w:r>
      <w:proofErr w:type="spellStart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Sindirações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o Brasil produziu no ano passado 85 milhões de toneladas de ração, aumento de 4% em relação a 2020. Com isso, o país é o terceiro maior produtor de rações do mundo, atrás apenas da China e dos Estados Unidos, respondendo por 6,5% do mercado global. Neste cenário, as transações de fusões e aquisições (M&amp;A) têm ganhado força no setor, principalmente para aumentar a competitividade de pequenas e médias empresas.</w:t>
      </w:r>
    </w:p>
    <w:p w14:paraId="1A3CBC1E" w14:textId="77777777" w:rsidR="00F00BA5" w:rsidRPr="00F00BA5" w:rsidRDefault="00F00BA5" w:rsidP="00F0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098678" w14:textId="77777777" w:rsidR="00F00BA5" w:rsidRPr="00F00BA5" w:rsidRDefault="00F00BA5" w:rsidP="00F0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“No Brasil, as fusões e aquisições estão se mostrando uma maneira bem-sucedida para as grandes empresas aumentarem o seu </w:t>
      </w:r>
      <w:proofErr w:type="spellStart"/>
      <w:r w:rsidRPr="00F00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share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mercado, diversificarem produtos e inovarem. Com a chegada das multinacionais ao país, principalmente nos últimos 10 </w:t>
      </w:r>
      <w:proofErr w:type="gramStart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anos,  toda</w:t>
      </w:r>
      <w:proofErr w:type="gramEnd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cadeia de Nutrição Animal foi pressionada a ter uma maior escala, inovação e novos investimento, o que consequentemente gerou o processo de consolidação no segmento”, explica o economista Vinicius de Oliveira, especialista em agronegócios e sócio da </w:t>
      </w:r>
      <w:proofErr w:type="spellStart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Redirection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International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empresa especializada em consultoria de M&amp;A.</w:t>
      </w:r>
    </w:p>
    <w:p w14:paraId="33786C95" w14:textId="77777777" w:rsidR="00F00BA5" w:rsidRPr="00F00BA5" w:rsidRDefault="00F00BA5" w:rsidP="00F0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EA5271" w14:textId="77777777" w:rsidR="00F00BA5" w:rsidRPr="00F00BA5" w:rsidRDefault="00F00BA5" w:rsidP="00F0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acordo com um estudo setorial realizado pela </w:t>
      </w:r>
      <w:proofErr w:type="spellStart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Redirection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toda a cadeia de produção de alimentos para animais tem se consolidado rapidamente no país, o que desperta o interesse também de fundos de investimento de </w:t>
      </w:r>
      <w:r w:rsidRPr="00F00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Private </w:t>
      </w:r>
      <w:proofErr w:type="spellStart"/>
      <w:r w:rsidRPr="00F00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Equity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“Um exemplo é o </w:t>
      </w:r>
      <w:proofErr w:type="spellStart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Aqua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Capital, um fundo de </w:t>
      </w:r>
      <w:r w:rsidRPr="00F00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Private </w:t>
      </w:r>
      <w:proofErr w:type="spellStart"/>
      <w:r w:rsidRPr="00F00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Equity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que possui cerca de R$ 650 milhões de ativos sob sua gestão, com ampla atuação no setor de agronegócio e saúde e nutrição animal. Desde 2016 o fundo vem realizando algumas aquisições no </w:t>
      </w:r>
      <w:proofErr w:type="gramStart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setor  e</w:t>
      </w:r>
      <w:proofErr w:type="gramEnd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sua participação no mercado animal foi ampliada pelas transações envolvendo a Yes e a </w:t>
      </w:r>
      <w:proofErr w:type="spellStart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Aquafeed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companhias de aditivos nutricionais para alimentação animal”, destaca Vinicius de Oliveira.</w:t>
      </w:r>
    </w:p>
    <w:p w14:paraId="11698961" w14:textId="77777777" w:rsidR="00F00BA5" w:rsidRPr="00F00BA5" w:rsidRDefault="00F00BA5" w:rsidP="00F0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C7F6ED" w14:textId="77777777" w:rsidR="00F00BA5" w:rsidRPr="00F00BA5" w:rsidRDefault="00F00BA5" w:rsidP="00F0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estudo da </w:t>
      </w:r>
      <w:proofErr w:type="spellStart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Redirection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aponta ainda que nos últimos três anos foram realizadas pelo menos 14 operações de fusões e aquisições no setor de nutrição animal no Brasil, tanto do segmento do agro quanto de pets. O levantamento leva em conta apenas as operações mais relevantes e que foram divulgadas pelas empresas envolvidas. Somente em 2021 foram seis transações, três vezes mais do que o registrado em 2020.</w:t>
      </w:r>
    </w:p>
    <w:p w14:paraId="4A58ADC6" w14:textId="77777777" w:rsidR="00F00BA5" w:rsidRPr="00F00BA5" w:rsidRDefault="00F00BA5" w:rsidP="00F0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0F704D" w14:textId="77777777" w:rsidR="00F00BA5" w:rsidRPr="00F00BA5" w:rsidRDefault="00F00BA5" w:rsidP="00F0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Perspectivas do mercado de nutrição animal</w:t>
      </w:r>
    </w:p>
    <w:p w14:paraId="36541EFA" w14:textId="77777777" w:rsidR="00F00BA5" w:rsidRPr="00F00BA5" w:rsidRDefault="00F00BA5" w:rsidP="00F0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o especialista, a tendência é que o setor siga aquecido nos próximos anos, abrindo novas oportunidades para fusões e aquisições. Entre os fatores que impulsionam o segmento estão a expectativa de aumento da população mundial e, consequentemente, da demanda por alimentos nas próximas décadas, o nível das exigências em relação a barreiras sanitárias, que tem se tornado mais rigoroso, e o papel do Brasil no contexto internacional de produção de proteína animal.</w:t>
      </w:r>
    </w:p>
    <w:p w14:paraId="543530F7" w14:textId="77777777" w:rsidR="00F00BA5" w:rsidRPr="00F00BA5" w:rsidRDefault="00F00BA5" w:rsidP="00F0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A44CE6" w14:textId="77777777" w:rsidR="00F00BA5" w:rsidRPr="00F00BA5" w:rsidRDefault="00F00BA5" w:rsidP="00F0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“Atualmente o país é o segundo maior produtor e o que mais exporta carne bovina e de aves e o quarto maior produtor e exportador de carne de porco do mundo. O mercado de nutrição animal se caracteriza pela presença de muitos </w:t>
      </w:r>
      <w:r w:rsidRPr="00F00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players</w:t>
      </w:r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grande e pequena escala, e continua altamente competitivo e fragmentado. Por isso, a tendência é que se </w:t>
      </w:r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consolide ainda mais nos próximos anos, com grandes oportunidades no segmento de peixes e aves”, afirma Vinicius de Oliveira.</w:t>
      </w:r>
    </w:p>
    <w:p w14:paraId="1526CCE1" w14:textId="77777777" w:rsidR="00F00BA5" w:rsidRPr="00F00BA5" w:rsidRDefault="00F00BA5" w:rsidP="00F0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8E857E" w14:textId="77777777" w:rsidR="00F00BA5" w:rsidRPr="00F00BA5" w:rsidRDefault="00F00BA5" w:rsidP="00F0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acordo com levantamento da </w:t>
      </w:r>
      <w:proofErr w:type="spellStart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Redirection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do total de 85 milhões toneladas de ração produzida em 2021 no país, o maior volume foi para aves (42,6 milhões toneladas), seguido de suínos (19,7 milhões de toneladas) e de bovinos (12,2 milhões de toneladas). Além disso, foram produzidas 4,12 milhões de toneladas de sal mineral e 1,45 milhão de toneladas de ração para a aquacultura.</w:t>
      </w:r>
    </w:p>
    <w:p w14:paraId="52A3FDA0" w14:textId="77777777" w:rsidR="00F00BA5" w:rsidRPr="00F00BA5" w:rsidRDefault="00F00BA5" w:rsidP="00F0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45CE92" w14:textId="77777777" w:rsidR="00F00BA5" w:rsidRPr="00F00BA5" w:rsidRDefault="00F00BA5" w:rsidP="00F0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estudo setorial sobre Fusões &amp; Aquisições no mercado de Saúde e Nutrição Animal elaborado pelos consultores da </w:t>
      </w:r>
      <w:proofErr w:type="spellStart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Redirection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International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 ser acessado no site: </w:t>
      </w:r>
      <w:hyperlink r:id="rId4" w:history="1">
        <w:r w:rsidRPr="00F00BA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t-BR"/>
          </w:rPr>
          <w:t>https://www.redirection.com.br/relatorios-setoriais</w:t>
        </w:r>
      </w:hyperlink>
    </w:p>
    <w:p w14:paraId="2912A303" w14:textId="77777777" w:rsidR="00F00BA5" w:rsidRPr="00F00BA5" w:rsidRDefault="00F00BA5" w:rsidP="00F0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047A30" w14:textId="77777777" w:rsidR="00F00BA5" w:rsidRPr="00F00BA5" w:rsidRDefault="00F00BA5" w:rsidP="00F0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BA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Sobre a </w:t>
      </w:r>
      <w:proofErr w:type="spellStart"/>
      <w:r w:rsidRPr="00F00BA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Redirection</w:t>
      </w:r>
      <w:proofErr w:type="spellEnd"/>
      <w:r w:rsidRPr="00F00BA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 </w:t>
      </w:r>
      <w:r w:rsidRPr="00F00BA5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05D063F3" w14:textId="77777777" w:rsidR="00F00BA5" w:rsidRPr="00F00BA5" w:rsidRDefault="00F00BA5" w:rsidP="00F0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BA5">
        <w:rPr>
          <w:rFonts w:ascii="Times New Roman" w:eastAsia="Times New Roman" w:hAnsi="Times New Roman" w:cs="Times New Roman"/>
          <w:color w:val="000000"/>
          <w:lang w:eastAsia="pt-BR"/>
        </w:rPr>
        <w:t>A </w:t>
      </w:r>
      <w:proofErr w:type="spellStart"/>
      <w:r w:rsidRPr="00F00BA5">
        <w:rPr>
          <w:rFonts w:ascii="Times New Roman" w:eastAsia="Times New Roman" w:hAnsi="Times New Roman" w:cs="Times New Roman"/>
          <w:color w:val="000000"/>
          <w:lang w:eastAsia="pt-BR"/>
        </w:rPr>
        <w:t>Redirection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lang w:eastAsia="pt-BR"/>
        </w:rPr>
        <w:t> é uma consultoria especializada em assessoria de Fusões &amp; Aquisições para empresas locais e internacionais do </w:t>
      </w:r>
      <w:proofErr w:type="spellStart"/>
      <w:r w:rsidRPr="00F00BA5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middle</w:t>
      </w:r>
      <w:proofErr w:type="spellEnd"/>
      <w:r w:rsidRPr="00F00BA5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 </w:t>
      </w:r>
      <w:proofErr w:type="spellStart"/>
      <w:r w:rsidRPr="00F00BA5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market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lang w:eastAsia="pt-BR"/>
        </w:rPr>
        <w:t>. Possui uma grande experiência em transações </w:t>
      </w:r>
      <w:proofErr w:type="spellStart"/>
      <w:r w:rsidRPr="00F00BA5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cross-border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lang w:eastAsia="pt-BR"/>
        </w:rPr>
        <w:t>, com equipe atuante diretamente no Brasil, América Latina, Estados Unidos e Reino Unido. É membro da ACG e, também, desenvolve uma rede de parceiros selecionados em todos os principais setores de negócios e regiões do mundo.  </w:t>
      </w:r>
    </w:p>
    <w:p w14:paraId="269712F5" w14:textId="77777777" w:rsidR="00F00BA5" w:rsidRPr="00F00BA5" w:rsidRDefault="00F00BA5" w:rsidP="00F0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F00BA5">
          <w:rPr>
            <w:rFonts w:ascii="Times New Roman" w:eastAsia="Times New Roman" w:hAnsi="Times New Roman" w:cs="Times New Roman"/>
            <w:color w:val="0563C1"/>
            <w:u w:val="single"/>
            <w:shd w:val="clear" w:color="auto" w:fill="FFFFFF"/>
            <w:lang w:eastAsia="pt-BR"/>
          </w:rPr>
          <w:t>https://www.redirection.com.br/</w:t>
        </w:r>
      </w:hyperlink>
      <w:r w:rsidRPr="00F00BA5">
        <w:rPr>
          <w:rFonts w:ascii="Calibri" w:eastAsia="Times New Roman" w:hAnsi="Calibri" w:cs="Calibri"/>
          <w:color w:val="000000"/>
          <w:lang w:eastAsia="pt-BR"/>
        </w:rPr>
        <w:t>  </w:t>
      </w:r>
    </w:p>
    <w:p w14:paraId="0E005F8B" w14:textId="77777777" w:rsidR="00807C09" w:rsidRDefault="00807C09"/>
    <w:sectPr w:rsidR="00807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A5"/>
    <w:rsid w:val="00807C09"/>
    <w:rsid w:val="00F0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66E7"/>
  <w15:chartTrackingRefBased/>
  <w15:docId w15:val="{C9CF6A3D-48E7-4C4C-BB20-1FB10D84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0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direction.com.br/" TargetMode="External"/><Relationship Id="rId4" Type="http://schemas.openxmlformats.org/officeDocument/2006/relationships/hyperlink" Target="https://www.redirection.com.br/relatorios-setoriai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</cp:revision>
  <dcterms:created xsi:type="dcterms:W3CDTF">2022-06-23T13:45:00Z</dcterms:created>
  <dcterms:modified xsi:type="dcterms:W3CDTF">2022-06-23T13:46:00Z</dcterms:modified>
</cp:coreProperties>
</file>