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FADD" w14:textId="4D2FEE44" w:rsidR="0077401A" w:rsidRDefault="002260FE" w:rsidP="003F7F6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Fusões e Aquisições: quais as perspectivas para 2023?</w:t>
      </w:r>
    </w:p>
    <w:p w14:paraId="42D47680" w14:textId="2332F893" w:rsidR="002260FE" w:rsidRDefault="002260FE" w:rsidP="003F7F6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i/>
          <w:iCs/>
        </w:rPr>
      </w:pPr>
      <w:r w:rsidRPr="002260FE">
        <w:rPr>
          <w:rStyle w:val="normaltextrun"/>
          <w:i/>
          <w:iCs/>
        </w:rPr>
        <w:t xml:space="preserve">Desaceleração da economia global e incertezas </w:t>
      </w:r>
      <w:r>
        <w:rPr>
          <w:rStyle w:val="normaltextrun"/>
          <w:i/>
          <w:iCs/>
        </w:rPr>
        <w:t>no cenário brasileiro</w:t>
      </w:r>
      <w:r w:rsidRPr="002260FE">
        <w:rPr>
          <w:rStyle w:val="normaltextrun"/>
          <w:i/>
          <w:iCs/>
        </w:rPr>
        <w:t xml:space="preserve"> devem afetar atração de investimentos no primeiro semestre do ano</w:t>
      </w:r>
    </w:p>
    <w:p w14:paraId="17D59197" w14:textId="773EFA96" w:rsidR="002260FE" w:rsidRDefault="002260FE" w:rsidP="00B0681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</w:rPr>
      </w:pPr>
    </w:p>
    <w:p w14:paraId="501FD538" w14:textId="5C77BED7" w:rsidR="008B0188" w:rsidRDefault="002260FE" w:rsidP="00B0681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O ano ainda não acabou, mas o mercado já se prepara para um período de apreensão no início de 2023 em relação às transações de </w:t>
      </w:r>
      <w:r w:rsidR="0086280D">
        <w:rPr>
          <w:rStyle w:val="normaltextrun"/>
        </w:rPr>
        <w:t>F</w:t>
      </w:r>
      <w:r>
        <w:rPr>
          <w:rStyle w:val="normaltextrun"/>
        </w:rPr>
        <w:t xml:space="preserve">usões </w:t>
      </w:r>
      <w:r w:rsidR="0086280D">
        <w:rPr>
          <w:rStyle w:val="normaltextrun"/>
        </w:rPr>
        <w:t>&amp;</w:t>
      </w:r>
      <w:r>
        <w:rPr>
          <w:rStyle w:val="normaltextrun"/>
        </w:rPr>
        <w:t xml:space="preserve"> </w:t>
      </w:r>
      <w:r w:rsidR="0086280D">
        <w:rPr>
          <w:rStyle w:val="normaltextrun"/>
        </w:rPr>
        <w:t>A</w:t>
      </w:r>
      <w:r>
        <w:rPr>
          <w:rStyle w:val="normaltextrun"/>
        </w:rPr>
        <w:t xml:space="preserve">quisições (M&amp;A) no Brasil. Um dos fatores </w:t>
      </w:r>
      <w:r w:rsidR="00AF3789">
        <w:rPr>
          <w:rStyle w:val="normaltextrun"/>
        </w:rPr>
        <w:t>de</w:t>
      </w:r>
      <w:r>
        <w:rPr>
          <w:rStyle w:val="normaltextrun"/>
        </w:rPr>
        <w:t xml:space="preserve"> incerteza </w:t>
      </w:r>
      <w:r w:rsidR="00AA5481">
        <w:rPr>
          <w:rStyle w:val="normaltextrun"/>
        </w:rPr>
        <w:t>é o</w:t>
      </w:r>
      <w:r w:rsidR="00531C3A">
        <w:rPr>
          <w:rStyle w:val="normaltextrun"/>
        </w:rPr>
        <w:t xml:space="preserve"> </w:t>
      </w:r>
      <w:r w:rsidR="00AA5481">
        <w:rPr>
          <w:rStyle w:val="normaltextrun"/>
        </w:rPr>
        <w:t>contexto</w:t>
      </w:r>
      <w:r>
        <w:rPr>
          <w:rStyle w:val="normaltextrun"/>
        </w:rPr>
        <w:t xml:space="preserve"> internacional</w:t>
      </w:r>
      <w:r w:rsidR="00531C3A">
        <w:rPr>
          <w:rStyle w:val="normaltextrun"/>
        </w:rPr>
        <w:t xml:space="preserve">, com </w:t>
      </w:r>
      <w:r>
        <w:rPr>
          <w:rStyle w:val="normaltextrun"/>
        </w:rPr>
        <w:t xml:space="preserve">a desaceleração da economia global, impactada principalmente pela guerra entre Ucrânia e Rússia que se arrasta há mais de dez meses. </w:t>
      </w:r>
      <w:r w:rsidR="003F7F67">
        <w:rPr>
          <w:rStyle w:val="normaltextrun"/>
        </w:rPr>
        <w:t>Já n</w:t>
      </w:r>
      <w:r>
        <w:rPr>
          <w:rStyle w:val="normaltextrun"/>
        </w:rPr>
        <w:t>o</w:t>
      </w:r>
      <w:r w:rsidR="008B0188">
        <w:rPr>
          <w:rStyle w:val="normaltextrun"/>
        </w:rPr>
        <w:t xml:space="preserve"> cenário nacional, os rumos que o novo governo federal deve tomar em relação à </w:t>
      </w:r>
      <w:r w:rsidR="00AF3789">
        <w:rPr>
          <w:rStyle w:val="normaltextrun"/>
        </w:rPr>
        <w:t>política econômica</w:t>
      </w:r>
      <w:r w:rsidR="008B0188">
        <w:rPr>
          <w:rStyle w:val="normaltextrun"/>
        </w:rPr>
        <w:t xml:space="preserve"> também </w:t>
      </w:r>
      <w:r w:rsidR="0086280D">
        <w:rPr>
          <w:rStyle w:val="normaltextrun"/>
        </w:rPr>
        <w:t>devem</w:t>
      </w:r>
      <w:r w:rsidR="008B0188">
        <w:rPr>
          <w:rStyle w:val="normaltextrun"/>
        </w:rPr>
        <w:t xml:space="preserve"> influenciar a atração de investimentos </w:t>
      </w:r>
      <w:r w:rsidR="003F7F67">
        <w:rPr>
          <w:rStyle w:val="normaltextrun"/>
        </w:rPr>
        <w:t>a</w:t>
      </w:r>
      <w:r w:rsidR="008B0188">
        <w:rPr>
          <w:rStyle w:val="normaltextrun"/>
        </w:rPr>
        <w:t>o país.</w:t>
      </w:r>
    </w:p>
    <w:p w14:paraId="18F230D1" w14:textId="77777777" w:rsidR="008B0188" w:rsidRDefault="008B0188" w:rsidP="00B0681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7BB7A677" w14:textId="4DB5ED0F" w:rsidR="002260FE" w:rsidRDefault="008B0188" w:rsidP="00B0681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“A perspectiva é que </w:t>
      </w:r>
      <w:r w:rsidR="0086280D">
        <w:rPr>
          <w:rStyle w:val="normaltextrun"/>
        </w:rPr>
        <w:t xml:space="preserve">possivelmente </w:t>
      </w:r>
      <w:r>
        <w:rPr>
          <w:rStyle w:val="normaltextrun"/>
        </w:rPr>
        <w:t xml:space="preserve">haja um </w:t>
      </w:r>
      <w:r w:rsidR="0086280D">
        <w:rPr>
          <w:rStyle w:val="normaltextrun"/>
        </w:rPr>
        <w:t xml:space="preserve">certo </w:t>
      </w:r>
      <w:r>
        <w:rPr>
          <w:rStyle w:val="normaltextrun"/>
        </w:rPr>
        <w:t>compasso de espera do mercado no primeiro semestre do ano que vem tanto aqui no Brasil</w:t>
      </w:r>
      <w:r w:rsidR="00531C3A">
        <w:rPr>
          <w:rStyle w:val="normaltextrun"/>
        </w:rPr>
        <w:t>,</w:t>
      </w:r>
      <w:r>
        <w:rPr>
          <w:rStyle w:val="normaltextrun"/>
        </w:rPr>
        <w:t xml:space="preserve"> quanto no exterior</w:t>
      </w:r>
      <w:r w:rsidR="00AF3789">
        <w:rPr>
          <w:rStyle w:val="normaltextrun"/>
        </w:rPr>
        <w:t>.</w:t>
      </w:r>
      <w:r w:rsidR="00774B40">
        <w:rPr>
          <w:rStyle w:val="normaltextrun"/>
        </w:rPr>
        <w:t xml:space="preserve"> Como as transações de M&amp;A</w:t>
      </w:r>
      <w:r w:rsidR="00AF3789">
        <w:rPr>
          <w:rStyle w:val="normaltextrun"/>
        </w:rPr>
        <w:t>,</w:t>
      </w:r>
      <w:r w:rsidR="00774B40">
        <w:rPr>
          <w:rStyle w:val="normaltextrun"/>
        </w:rPr>
        <w:t xml:space="preserve"> em geral, levam meses para serem concluídas, a tendência é que os investidores aguardem para iniciar novos processos</w:t>
      </w:r>
      <w:r>
        <w:rPr>
          <w:rStyle w:val="normaltextrun"/>
        </w:rPr>
        <w:t xml:space="preserve">. A economia em nível internacional também está apreensiva, com aperto fiscal na Europa e nos Estados Unidos. Por isso, muitos investidores </w:t>
      </w:r>
      <w:r w:rsidR="0086280D">
        <w:rPr>
          <w:rStyle w:val="normaltextrun"/>
        </w:rPr>
        <w:t>poderão</w:t>
      </w:r>
      <w:r>
        <w:rPr>
          <w:rStyle w:val="normaltextrun"/>
        </w:rPr>
        <w:t xml:space="preserve"> aguardar para ver se haverá ou não recessão nesses países e, aqui no Brasil, como será a </w:t>
      </w:r>
      <w:r w:rsidR="00AF3789">
        <w:rPr>
          <w:rStyle w:val="normaltextrun"/>
        </w:rPr>
        <w:t>condução da economia</w:t>
      </w:r>
      <w:r>
        <w:rPr>
          <w:rStyle w:val="normaltextrun"/>
        </w:rPr>
        <w:t xml:space="preserve"> </w:t>
      </w:r>
      <w:r w:rsidR="00AF3789">
        <w:rPr>
          <w:rStyle w:val="normaltextrun"/>
        </w:rPr>
        <w:t>n</w:t>
      </w:r>
      <w:r>
        <w:rPr>
          <w:rStyle w:val="normaltextrun"/>
        </w:rPr>
        <w:t>o</w:t>
      </w:r>
      <w:r w:rsidR="00AF3789">
        <w:rPr>
          <w:rStyle w:val="normaltextrun"/>
        </w:rPr>
        <w:t xml:space="preserve"> início do novo</w:t>
      </w:r>
      <w:r>
        <w:rPr>
          <w:rStyle w:val="normaltextrun"/>
        </w:rPr>
        <w:t xml:space="preserve"> governo”,</w:t>
      </w:r>
      <w:r w:rsidR="002260FE">
        <w:rPr>
          <w:rStyle w:val="normaltextrun"/>
        </w:rPr>
        <w:t xml:space="preserve"> </w:t>
      </w:r>
      <w:r>
        <w:rPr>
          <w:rStyle w:val="normaltextrun"/>
        </w:rPr>
        <w:t>destaca João Caetano Magalhães, diretor da</w:t>
      </w:r>
      <w:r w:rsidR="002260FE">
        <w:rPr>
          <w:rStyle w:val="normaltextrun"/>
        </w:rPr>
        <w:t xml:space="preserve"> Redirection International, especializada em assessoria de </w:t>
      </w:r>
      <w:r w:rsidR="0086280D">
        <w:rPr>
          <w:rStyle w:val="normaltextrun"/>
        </w:rPr>
        <w:t>F</w:t>
      </w:r>
      <w:r w:rsidR="002260FE">
        <w:rPr>
          <w:rStyle w:val="normaltextrun"/>
        </w:rPr>
        <w:t xml:space="preserve">usões </w:t>
      </w:r>
      <w:r w:rsidR="0086280D">
        <w:rPr>
          <w:rStyle w:val="normaltextrun"/>
        </w:rPr>
        <w:t>&amp;</w:t>
      </w:r>
      <w:r w:rsidR="002260FE">
        <w:rPr>
          <w:rStyle w:val="normaltextrun"/>
        </w:rPr>
        <w:t xml:space="preserve"> </w:t>
      </w:r>
      <w:r w:rsidR="0086280D">
        <w:rPr>
          <w:rStyle w:val="normaltextrun"/>
        </w:rPr>
        <w:t>A</w:t>
      </w:r>
      <w:r w:rsidR="002260FE">
        <w:rPr>
          <w:rStyle w:val="normaltextrun"/>
        </w:rPr>
        <w:t>quisições.</w:t>
      </w:r>
    </w:p>
    <w:p w14:paraId="3F20C5D2" w14:textId="6751E8AC" w:rsidR="00AF3789" w:rsidRDefault="00AF3789" w:rsidP="00B0681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64C8DAB1" w14:textId="016F037F" w:rsidR="00AF3789" w:rsidRDefault="00AF3789" w:rsidP="00AF37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O especialista destaca que a estabilidade política e econômica aumenta a competitividade do Brasil e torna o país mais atrativo para novos investimentos. “Vai depender muito se o governo terá um papel atuante na economia, o que pode afetar positivamente os setores mais sensíveis às políticas públicas, como por exemplo o de infraestrutura e de construção civil”, explica.</w:t>
      </w:r>
    </w:p>
    <w:p w14:paraId="087AA241" w14:textId="77777777" w:rsidR="00AF3789" w:rsidRDefault="00AF3789" w:rsidP="00AF37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69C5E4C4" w14:textId="613A0EB3" w:rsidR="00774B40" w:rsidRPr="000F4644" w:rsidRDefault="00774B40" w:rsidP="00774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 w:rsidRPr="000F4644">
        <w:rPr>
          <w:rStyle w:val="normaltextrun"/>
          <w:b/>
          <w:bCs/>
        </w:rPr>
        <w:t>Setores mais promissores</w:t>
      </w:r>
    </w:p>
    <w:p w14:paraId="080886D3" w14:textId="539CF57D" w:rsidR="00B361DE" w:rsidRDefault="002260FE" w:rsidP="00B361D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Segundo </w:t>
      </w:r>
      <w:r w:rsidR="008B0188">
        <w:rPr>
          <w:rStyle w:val="normaltextrun"/>
        </w:rPr>
        <w:t xml:space="preserve">um levantamento feito pela </w:t>
      </w:r>
      <w:r w:rsidR="00774B40">
        <w:rPr>
          <w:rStyle w:val="normaltextrun"/>
        </w:rPr>
        <w:t>Redirection</w:t>
      </w:r>
      <w:r w:rsidR="008B0188">
        <w:rPr>
          <w:rStyle w:val="normaltextrun"/>
        </w:rPr>
        <w:t xml:space="preserve">, </w:t>
      </w:r>
      <w:r w:rsidR="00774B40">
        <w:rPr>
          <w:rStyle w:val="normaltextrun"/>
        </w:rPr>
        <w:t xml:space="preserve">no primeiro semestre deste ano foram fechadas 926 operações de M&amp;A no Brasil, 14% acima do registrado no mesmo período do ano passado (812). O destaque é para as transações </w:t>
      </w:r>
      <w:proofErr w:type="spellStart"/>
      <w:r w:rsidR="00774B40">
        <w:rPr>
          <w:rStyle w:val="normaltextrun"/>
        </w:rPr>
        <w:t>cross-border</w:t>
      </w:r>
      <w:proofErr w:type="spellEnd"/>
      <w:r w:rsidR="00774B40">
        <w:rPr>
          <w:rStyle w:val="normaltextrun"/>
        </w:rPr>
        <w:t xml:space="preserve"> (que incluem investidores internacionais), que cresceram 21% no período em relação ao primeiro semestre de 2021.</w:t>
      </w:r>
    </w:p>
    <w:p w14:paraId="21D55442" w14:textId="100E1F5A" w:rsidR="00774B40" w:rsidRDefault="00774B40" w:rsidP="00B0681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7ADFF1DD" w14:textId="1AE5D829" w:rsidR="00B361DE" w:rsidRDefault="00774B40" w:rsidP="00774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“Mesmo com as incertezas no cenário político e econômico brasileiro,</w:t>
      </w:r>
      <w:r w:rsidR="00B361DE">
        <w:rPr>
          <w:rStyle w:val="normaltextrun"/>
        </w:rPr>
        <w:t xml:space="preserve"> </w:t>
      </w:r>
      <w:r>
        <w:rPr>
          <w:rStyle w:val="normaltextrun"/>
        </w:rPr>
        <w:t>o ano de 2022 correu normalmente no Brasil e alguns setores devem bater recordes no volume de transações, como por exemplo o de energias renováveis que deve crescer 19% em relação ao ano passado</w:t>
      </w:r>
      <w:r w:rsidR="00B361DE">
        <w:rPr>
          <w:rStyle w:val="normaltextrun"/>
        </w:rPr>
        <w:t>. Outros segmentos como de agro</w:t>
      </w:r>
      <w:r w:rsidR="00AF3789">
        <w:rPr>
          <w:rStyle w:val="normaltextrun"/>
        </w:rPr>
        <w:t>negócio</w:t>
      </w:r>
      <w:r w:rsidR="00B361DE">
        <w:rPr>
          <w:rStyle w:val="normaltextrun"/>
        </w:rPr>
        <w:t xml:space="preserve"> e biotecnologia, educação, saúde e tecnologia também tiveram bom desempenho neste ano e devem continuar em ascensão em 2023</w:t>
      </w:r>
      <w:r>
        <w:rPr>
          <w:rStyle w:val="normaltextrun"/>
        </w:rPr>
        <w:t>”, destaca João Caetano Magalhães.</w:t>
      </w:r>
    </w:p>
    <w:p w14:paraId="52646BEE" w14:textId="43CCFE5F" w:rsidR="00AF3789" w:rsidRDefault="00AF3789" w:rsidP="00774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24AE4218" w14:textId="3FE06B73" w:rsidR="008B0188" w:rsidRDefault="00AF3789" w:rsidP="00AF37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E foi justamente nestes setores que a empresa atuou mais diretamente ao longo de 2022. Uma das transações mediadas pela Redirection foi a aquisição do Laboratório Agronômica, que atua no diagnóstico fitossanitário, pela multinacional suíça </w:t>
      </w:r>
      <w:proofErr w:type="spellStart"/>
      <w:r>
        <w:rPr>
          <w:rStyle w:val="normaltextrun"/>
        </w:rPr>
        <w:t>Cotecna</w:t>
      </w:r>
      <w:proofErr w:type="spellEnd"/>
      <w:r>
        <w:rPr>
          <w:rStyle w:val="normaltextrun"/>
        </w:rPr>
        <w:t xml:space="preserve">, anunciada na metade do ano. Ainda em 2022, a empresa assessorou o grupo educacional gaúcho </w:t>
      </w:r>
      <w:proofErr w:type="spellStart"/>
      <w:r>
        <w:rPr>
          <w:rStyle w:val="normaltextrun"/>
        </w:rPr>
        <w:t>Atitus</w:t>
      </w:r>
      <w:proofErr w:type="spellEnd"/>
      <w:r>
        <w:rPr>
          <w:rStyle w:val="normaltextrun"/>
        </w:rPr>
        <w:t xml:space="preserve"> Educação no processo de expansão via aquisições</w:t>
      </w:r>
      <w:r w:rsidR="002C0A94">
        <w:rPr>
          <w:rStyle w:val="normaltextrun"/>
        </w:rPr>
        <w:t xml:space="preserve"> no Rio Grande do Sul e em Santa Catarina.</w:t>
      </w:r>
    </w:p>
    <w:p w14:paraId="47E05785" w14:textId="77777777" w:rsidR="00B361DE" w:rsidRDefault="00B361DE" w:rsidP="00B361DE">
      <w:pPr>
        <w:pStyle w:val="NormalWeb"/>
        <w:jc w:val="both"/>
        <w:rPr>
          <w:rStyle w:val="Forte"/>
          <w:sz w:val="22"/>
          <w:szCs w:val="22"/>
        </w:rPr>
      </w:pPr>
      <w:r w:rsidRPr="00EB082C">
        <w:rPr>
          <w:rStyle w:val="Forte"/>
          <w:sz w:val="22"/>
          <w:szCs w:val="22"/>
        </w:rPr>
        <w:t>Sobre a Redirectio</w:t>
      </w:r>
      <w:r>
        <w:rPr>
          <w:rStyle w:val="Forte"/>
          <w:sz w:val="22"/>
          <w:szCs w:val="22"/>
        </w:rPr>
        <w:t>n</w:t>
      </w:r>
    </w:p>
    <w:p w14:paraId="50F8425E" w14:textId="1E304914" w:rsidR="00B361DE" w:rsidRPr="0077401A" w:rsidRDefault="00B361DE" w:rsidP="00B361DE">
      <w:pPr>
        <w:pStyle w:val="NormalWeb"/>
        <w:jc w:val="both"/>
        <w:rPr>
          <w:rStyle w:val="normaltextrun"/>
          <w:b/>
          <w:bCs/>
        </w:rPr>
      </w:pPr>
      <w:r w:rsidRPr="00EB082C">
        <w:rPr>
          <w:sz w:val="22"/>
          <w:szCs w:val="22"/>
        </w:rPr>
        <w:lastRenderedPageBreak/>
        <w:t xml:space="preserve">A Redirection é uma consultoria especializada em assessoria de Fusões &amp; Aquisições para empresas locais e internacionais do </w:t>
      </w:r>
      <w:proofErr w:type="spellStart"/>
      <w:r w:rsidRPr="00EB082C">
        <w:rPr>
          <w:rStyle w:val="nfase"/>
          <w:sz w:val="22"/>
          <w:szCs w:val="22"/>
        </w:rPr>
        <w:t>middle</w:t>
      </w:r>
      <w:proofErr w:type="spellEnd"/>
      <w:r w:rsidRPr="00EB082C">
        <w:rPr>
          <w:rStyle w:val="nfase"/>
          <w:sz w:val="22"/>
          <w:szCs w:val="22"/>
        </w:rPr>
        <w:t xml:space="preserve"> </w:t>
      </w:r>
      <w:proofErr w:type="spellStart"/>
      <w:r w:rsidRPr="00EB082C">
        <w:rPr>
          <w:rStyle w:val="nfase"/>
          <w:sz w:val="22"/>
          <w:szCs w:val="22"/>
        </w:rPr>
        <w:t>market</w:t>
      </w:r>
      <w:proofErr w:type="spellEnd"/>
      <w:r w:rsidRPr="00EB082C">
        <w:rPr>
          <w:sz w:val="22"/>
          <w:szCs w:val="22"/>
        </w:rPr>
        <w:t xml:space="preserve">. Possui uma grande experiência em transações </w:t>
      </w:r>
      <w:proofErr w:type="spellStart"/>
      <w:r w:rsidRPr="00EB082C">
        <w:rPr>
          <w:rStyle w:val="nfase"/>
          <w:sz w:val="22"/>
          <w:szCs w:val="22"/>
        </w:rPr>
        <w:t>cross-border</w:t>
      </w:r>
      <w:proofErr w:type="spellEnd"/>
      <w:r w:rsidRPr="00EB082C">
        <w:rPr>
          <w:sz w:val="22"/>
          <w:szCs w:val="22"/>
        </w:rPr>
        <w:t>, com equipe atuante diretamente no Brasil, América Latina, Estados Unidos e Reino Unido. É membro da ACG e, também, desenvolve uma rede de parceiros selecionados em todos os principais setores de negócios e regiões do mundo.  </w:t>
      </w:r>
      <w:hyperlink r:id="rId7" w:history="1">
        <w:r w:rsidRPr="00EB082C">
          <w:rPr>
            <w:rStyle w:val="Hyperlink"/>
            <w:rFonts w:eastAsiaTheme="majorEastAsia"/>
            <w:sz w:val="22"/>
            <w:szCs w:val="22"/>
          </w:rPr>
          <w:t>https://www.redirection.com.br/</w:t>
        </w:r>
      </w:hyperlink>
      <w:r w:rsidRPr="00EB082C">
        <w:rPr>
          <w:sz w:val="22"/>
          <w:szCs w:val="22"/>
        </w:rPr>
        <w:t>  </w:t>
      </w:r>
    </w:p>
    <w:sectPr w:rsidR="00B361DE" w:rsidRPr="007740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5C91" w14:textId="77777777" w:rsidR="00F64C72" w:rsidRDefault="00F64C72" w:rsidP="00B06819">
      <w:pPr>
        <w:spacing w:after="0" w:line="240" w:lineRule="auto"/>
      </w:pPr>
      <w:r>
        <w:separator/>
      </w:r>
    </w:p>
  </w:endnote>
  <w:endnote w:type="continuationSeparator" w:id="0">
    <w:p w14:paraId="12C087ED" w14:textId="77777777" w:rsidR="00F64C72" w:rsidRDefault="00F64C72" w:rsidP="00B0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468E" w14:textId="77777777" w:rsidR="00F64C72" w:rsidRDefault="00F64C72" w:rsidP="00B06819">
      <w:pPr>
        <w:spacing w:after="0" w:line="240" w:lineRule="auto"/>
      </w:pPr>
      <w:r>
        <w:separator/>
      </w:r>
    </w:p>
  </w:footnote>
  <w:footnote w:type="continuationSeparator" w:id="0">
    <w:p w14:paraId="14CE29E8" w14:textId="77777777" w:rsidR="00F64C72" w:rsidRDefault="00F64C72" w:rsidP="00B06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19"/>
    <w:rsid w:val="000F4644"/>
    <w:rsid w:val="0014411C"/>
    <w:rsid w:val="002260FE"/>
    <w:rsid w:val="002C0A94"/>
    <w:rsid w:val="003E0A49"/>
    <w:rsid w:val="003F7F67"/>
    <w:rsid w:val="00531C3A"/>
    <w:rsid w:val="0053573B"/>
    <w:rsid w:val="00555551"/>
    <w:rsid w:val="00560BA5"/>
    <w:rsid w:val="0077401A"/>
    <w:rsid w:val="00774B40"/>
    <w:rsid w:val="00822D51"/>
    <w:rsid w:val="00845C10"/>
    <w:rsid w:val="0086280D"/>
    <w:rsid w:val="008A2D15"/>
    <w:rsid w:val="008B0188"/>
    <w:rsid w:val="00945CF6"/>
    <w:rsid w:val="00AA5481"/>
    <w:rsid w:val="00AF3789"/>
    <w:rsid w:val="00B06819"/>
    <w:rsid w:val="00B07554"/>
    <w:rsid w:val="00B361DE"/>
    <w:rsid w:val="00D70DC9"/>
    <w:rsid w:val="00E54D75"/>
    <w:rsid w:val="00F3160F"/>
    <w:rsid w:val="00F6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BBC3"/>
  <w15:chartTrackingRefBased/>
  <w15:docId w15:val="{ACA1A2AE-2F18-4F73-A7F7-234FBA15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0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06819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0681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0681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0681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3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361DE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B361DE"/>
    <w:rPr>
      <w:b/>
      <w:bCs/>
    </w:rPr>
  </w:style>
  <w:style w:type="character" w:styleId="nfase">
    <w:name w:val="Emphasis"/>
    <w:basedOn w:val="Fontepargpadro"/>
    <w:uiPriority w:val="20"/>
    <w:qFormat/>
    <w:rsid w:val="00B361DE"/>
    <w:rPr>
      <w:i/>
      <w:iCs/>
    </w:rPr>
  </w:style>
  <w:style w:type="paragraph" w:styleId="Reviso">
    <w:name w:val="Revision"/>
    <w:hidden/>
    <w:uiPriority w:val="99"/>
    <w:semiHidden/>
    <w:rsid w:val="00862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direction.com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50D46-8C3D-4C68-9760-868B7072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3</cp:revision>
  <dcterms:created xsi:type="dcterms:W3CDTF">2022-12-21T12:52:00Z</dcterms:created>
  <dcterms:modified xsi:type="dcterms:W3CDTF">2022-12-21T12:52:00Z</dcterms:modified>
</cp:coreProperties>
</file>