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1BAAF" w14:textId="77777777" w:rsidR="00C932D3" w:rsidRPr="00C932D3" w:rsidRDefault="00C932D3" w:rsidP="00C932D3">
      <w:pPr>
        <w:jc w:val="center"/>
        <w:rPr>
          <w:rFonts w:ascii="Times New Roman" w:hAnsi="Times New Roman" w:cs="Times New Roman"/>
          <w:sz w:val="26"/>
          <w:szCs w:val="26"/>
        </w:rPr>
      </w:pPr>
      <w:r w:rsidRPr="00C932D3">
        <w:rPr>
          <w:rFonts w:ascii="Times New Roman" w:hAnsi="Times New Roman" w:cs="Times New Roman"/>
          <w:b/>
          <w:bCs/>
          <w:sz w:val="26"/>
          <w:szCs w:val="26"/>
        </w:rPr>
        <w:t>Clubes imobiliários atraem investidores em busca de patrimônio real e previsibilidade</w:t>
      </w:r>
    </w:p>
    <w:p w14:paraId="65B38ABD" w14:textId="77777777" w:rsidR="00C932D3" w:rsidRPr="00C932D3" w:rsidRDefault="00C932D3" w:rsidP="00C932D3">
      <w:pPr>
        <w:jc w:val="center"/>
        <w:rPr>
          <w:rFonts w:ascii="Times New Roman" w:hAnsi="Times New Roman" w:cs="Times New Roman"/>
          <w:sz w:val="26"/>
          <w:szCs w:val="26"/>
        </w:rPr>
      </w:pPr>
      <w:r w:rsidRPr="00C932D3">
        <w:rPr>
          <w:rFonts w:ascii="Times New Roman" w:hAnsi="Times New Roman" w:cs="Times New Roman"/>
          <w:b/>
          <w:bCs/>
          <w:i/>
          <w:iCs/>
          <w:sz w:val="26"/>
          <w:szCs w:val="26"/>
        </w:rPr>
        <w:t>Modelo reúne investidores para aquisição de imóveis premium e incorporações com gestão especializada</w:t>
      </w:r>
    </w:p>
    <w:p w14:paraId="33DE5339" w14:textId="10B7DBF0" w:rsidR="00C932D3" w:rsidRPr="00C932D3" w:rsidRDefault="00C932D3" w:rsidP="00C932D3">
      <w:pPr>
        <w:jc w:val="both"/>
        <w:rPr>
          <w:rFonts w:ascii="Times New Roman" w:hAnsi="Times New Roman" w:cs="Times New Roman"/>
          <w:sz w:val="24"/>
          <w:szCs w:val="24"/>
        </w:rPr>
      </w:pPr>
      <w:r w:rsidRPr="00C932D3">
        <w:rPr>
          <w:rFonts w:ascii="Times New Roman" w:hAnsi="Times New Roman" w:cs="Times New Roman"/>
          <w:sz w:val="24"/>
          <w:szCs w:val="24"/>
        </w:rPr>
        <w:t>O mercado brasileiro de investimentos imobiliários vive uma nova fase de expansão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932D3">
        <w:rPr>
          <w:rFonts w:ascii="Times New Roman" w:hAnsi="Times New Roman" w:cs="Times New Roman"/>
          <w:sz w:val="24"/>
          <w:szCs w:val="24"/>
        </w:rPr>
        <w:t xml:space="preserve"> acompanhando o setor imobiliário </w:t>
      </w:r>
      <w:r>
        <w:rPr>
          <w:rFonts w:ascii="Times New Roman" w:hAnsi="Times New Roman" w:cs="Times New Roman"/>
          <w:sz w:val="24"/>
          <w:szCs w:val="24"/>
        </w:rPr>
        <w:t>registrou</w:t>
      </w:r>
      <w:r w:rsidRPr="00C932D3">
        <w:rPr>
          <w:rFonts w:ascii="Times New Roman" w:hAnsi="Times New Roman" w:cs="Times New Roman"/>
          <w:sz w:val="24"/>
          <w:szCs w:val="24"/>
        </w:rPr>
        <w:t xml:space="preserve"> aumento de 10,6% nos lançamentos de imóveis residenciais e crescimento de 5,4% nas vendas em relação ao ano anterior, segundo informações da Câmara Brasileira da Indústria da Construção (CBIC). O bom desempenho do setor também tem incentivado a formação de clubes de investimento voltados à aquisição de imóveis de alto valor e incorporações com gestão especializada. </w:t>
      </w:r>
    </w:p>
    <w:p w14:paraId="732B6E06" w14:textId="77777777" w:rsidR="00C932D3" w:rsidRPr="00C932D3" w:rsidRDefault="00C932D3" w:rsidP="00C932D3">
      <w:pPr>
        <w:jc w:val="both"/>
        <w:rPr>
          <w:rFonts w:ascii="Times New Roman" w:hAnsi="Times New Roman" w:cs="Times New Roman"/>
          <w:sz w:val="24"/>
          <w:szCs w:val="24"/>
        </w:rPr>
      </w:pPr>
      <w:r w:rsidRPr="00C932D3">
        <w:rPr>
          <w:rFonts w:ascii="Times New Roman" w:hAnsi="Times New Roman" w:cs="Times New Roman"/>
          <w:sz w:val="24"/>
          <w:szCs w:val="24"/>
        </w:rPr>
        <w:t xml:space="preserve">O modelo de negócios, conhecido como ‘Club </w:t>
      </w:r>
      <w:proofErr w:type="spellStart"/>
      <w:r w:rsidRPr="00C932D3">
        <w:rPr>
          <w:rFonts w:ascii="Times New Roman" w:hAnsi="Times New Roman" w:cs="Times New Roman"/>
          <w:sz w:val="24"/>
          <w:szCs w:val="24"/>
        </w:rPr>
        <w:t>Deal</w:t>
      </w:r>
      <w:proofErr w:type="spellEnd"/>
      <w:r w:rsidRPr="00C932D3">
        <w:rPr>
          <w:rFonts w:ascii="Times New Roman" w:hAnsi="Times New Roman" w:cs="Times New Roman"/>
          <w:sz w:val="24"/>
          <w:szCs w:val="24"/>
        </w:rPr>
        <w:t xml:space="preserve"> Imobiliário’, reúne grupos de investidores em operações estruturadas por Family Offices e gestoras e vem atraindo empresários, executivos e famílias interessadas em diversificação, proteção patrimonial e acesso a oportunidades antes restritas a grandes incorporadoras. Entre os diferenciais deste modelo estão a curadoria especializada dos ativos, análise jurídica e financeira das operações, gestão profissional e diluição de riscos entre os participantes.</w:t>
      </w:r>
    </w:p>
    <w:p w14:paraId="6428BE7C" w14:textId="77777777" w:rsidR="00C932D3" w:rsidRPr="00C932D3" w:rsidRDefault="00C932D3" w:rsidP="00C932D3">
      <w:pPr>
        <w:jc w:val="both"/>
        <w:rPr>
          <w:rFonts w:ascii="Times New Roman" w:hAnsi="Times New Roman" w:cs="Times New Roman"/>
          <w:sz w:val="24"/>
          <w:szCs w:val="24"/>
        </w:rPr>
      </w:pPr>
      <w:r w:rsidRPr="00C932D3">
        <w:rPr>
          <w:rFonts w:ascii="Times New Roman" w:hAnsi="Times New Roman" w:cs="Times New Roman"/>
          <w:sz w:val="24"/>
          <w:szCs w:val="24"/>
        </w:rPr>
        <w:t xml:space="preserve">“Existe hoje um movimento claro de investidores migrando parte do patrimônio para ativos reais e operações estruturadas no mercado imobiliário. Os clubes permitem acesso a negócios que individualmente muitas vezes seriam inviáveis, como incorporações imobiliárias, aquisição de imóveis premium, comerciais e logísticos e o acesso a ativos com potencial de renda e valorização em longo prazo, por exemplo”, explica Murilo </w:t>
      </w:r>
      <w:proofErr w:type="spellStart"/>
      <w:r w:rsidRPr="00C932D3">
        <w:rPr>
          <w:rFonts w:ascii="Times New Roman" w:hAnsi="Times New Roman" w:cs="Times New Roman"/>
          <w:sz w:val="24"/>
          <w:szCs w:val="24"/>
        </w:rPr>
        <w:t>Dalsenter</w:t>
      </w:r>
      <w:proofErr w:type="spellEnd"/>
      <w:r w:rsidRPr="00C932D3">
        <w:rPr>
          <w:rFonts w:ascii="Times New Roman" w:hAnsi="Times New Roman" w:cs="Times New Roman"/>
          <w:sz w:val="24"/>
          <w:szCs w:val="24"/>
        </w:rPr>
        <w:t xml:space="preserve">, CEO da </w:t>
      </w:r>
      <w:proofErr w:type="spellStart"/>
      <w:r w:rsidRPr="00C932D3">
        <w:rPr>
          <w:rFonts w:ascii="Times New Roman" w:hAnsi="Times New Roman" w:cs="Times New Roman"/>
          <w:sz w:val="24"/>
          <w:szCs w:val="24"/>
        </w:rPr>
        <w:t>Zelen</w:t>
      </w:r>
      <w:proofErr w:type="spellEnd"/>
      <w:r w:rsidRPr="00C932D3">
        <w:rPr>
          <w:rFonts w:ascii="Times New Roman" w:hAnsi="Times New Roman" w:cs="Times New Roman"/>
          <w:sz w:val="24"/>
          <w:szCs w:val="24"/>
        </w:rPr>
        <w:t xml:space="preserve"> Family Office.</w:t>
      </w:r>
    </w:p>
    <w:p w14:paraId="0A2080E1" w14:textId="77777777" w:rsidR="00C932D3" w:rsidRPr="00C932D3" w:rsidRDefault="00C932D3" w:rsidP="00C932D3">
      <w:pPr>
        <w:jc w:val="both"/>
        <w:rPr>
          <w:rFonts w:ascii="Times New Roman" w:hAnsi="Times New Roman" w:cs="Times New Roman"/>
          <w:sz w:val="24"/>
          <w:szCs w:val="24"/>
        </w:rPr>
      </w:pPr>
      <w:r w:rsidRPr="00C932D3">
        <w:rPr>
          <w:rFonts w:ascii="Times New Roman" w:hAnsi="Times New Roman" w:cs="Times New Roman"/>
          <w:sz w:val="24"/>
          <w:szCs w:val="24"/>
        </w:rPr>
        <w:t>Ele lembra que apesar do potencial de valorização do setor, investir em clubes imobiliários exige uma análise criteriosa da estrutura da operação, do histórico da gestora e dos mecanismos de governança. Entender o modelo jurídico da gestora, analisar o perfil dos ativos imobiliários e verificar os prazos de investimentos e liquidez também são etapas importantes para a tomada de decisão.</w:t>
      </w:r>
    </w:p>
    <w:p w14:paraId="1BFCE572" w14:textId="77777777" w:rsidR="00C932D3" w:rsidRPr="00C932D3" w:rsidRDefault="00C932D3" w:rsidP="00C932D3">
      <w:pPr>
        <w:jc w:val="both"/>
        <w:rPr>
          <w:rFonts w:ascii="Times New Roman" w:hAnsi="Times New Roman" w:cs="Times New Roman"/>
          <w:sz w:val="24"/>
          <w:szCs w:val="24"/>
        </w:rPr>
      </w:pPr>
      <w:r w:rsidRPr="00C932D3">
        <w:rPr>
          <w:rFonts w:ascii="Times New Roman" w:hAnsi="Times New Roman" w:cs="Times New Roman"/>
          <w:sz w:val="24"/>
          <w:szCs w:val="24"/>
        </w:rPr>
        <w:t xml:space="preserve">“Hoje o investidor não busca apenas retorno financeiro. Ele quer previsibilidade, segurança jurídica, transparência e acesso a oportunidades qualificadas. O mercado imobiliário segue sendo um dos pilares de preservação patrimonial no Brasil”, ressalta Murilo </w:t>
      </w:r>
      <w:proofErr w:type="spellStart"/>
      <w:r w:rsidRPr="00C932D3">
        <w:rPr>
          <w:rFonts w:ascii="Times New Roman" w:hAnsi="Times New Roman" w:cs="Times New Roman"/>
          <w:sz w:val="24"/>
          <w:szCs w:val="24"/>
        </w:rPr>
        <w:t>Dalsenter</w:t>
      </w:r>
      <w:proofErr w:type="spellEnd"/>
      <w:r w:rsidRPr="00C932D3">
        <w:rPr>
          <w:rFonts w:ascii="Times New Roman" w:hAnsi="Times New Roman" w:cs="Times New Roman"/>
          <w:sz w:val="24"/>
          <w:szCs w:val="24"/>
        </w:rPr>
        <w:t>. “Outra orientação é diversificar os aportes entre diferentes projetos e segmentos”, complementa.</w:t>
      </w:r>
    </w:p>
    <w:p w14:paraId="4FFB189C" w14:textId="77777777" w:rsidR="00C932D3" w:rsidRPr="00C932D3" w:rsidRDefault="00C932D3" w:rsidP="00C932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BFC79" w14:textId="77777777" w:rsidR="00C932D3" w:rsidRPr="00C932D3" w:rsidRDefault="00C932D3" w:rsidP="00C932D3">
      <w:pPr>
        <w:jc w:val="both"/>
        <w:rPr>
          <w:rFonts w:ascii="Times New Roman" w:hAnsi="Times New Roman" w:cs="Times New Roman"/>
        </w:rPr>
      </w:pPr>
      <w:r w:rsidRPr="00C932D3">
        <w:rPr>
          <w:rFonts w:ascii="Times New Roman" w:hAnsi="Times New Roman" w:cs="Times New Roman"/>
          <w:b/>
          <w:bCs/>
        </w:rPr>
        <w:t xml:space="preserve">Sobre a </w:t>
      </w:r>
      <w:proofErr w:type="spellStart"/>
      <w:r w:rsidRPr="00C932D3">
        <w:rPr>
          <w:rFonts w:ascii="Times New Roman" w:hAnsi="Times New Roman" w:cs="Times New Roman"/>
          <w:b/>
          <w:bCs/>
        </w:rPr>
        <w:t>Zelen</w:t>
      </w:r>
      <w:proofErr w:type="spellEnd"/>
      <w:r w:rsidRPr="00C932D3">
        <w:rPr>
          <w:rFonts w:ascii="Times New Roman" w:hAnsi="Times New Roman" w:cs="Times New Roman"/>
          <w:b/>
          <w:bCs/>
        </w:rPr>
        <w:t xml:space="preserve"> Family Office</w:t>
      </w:r>
    </w:p>
    <w:p w14:paraId="6E41AC0F" w14:textId="77777777" w:rsidR="00C932D3" w:rsidRPr="00C932D3" w:rsidRDefault="00C932D3" w:rsidP="00C932D3">
      <w:pPr>
        <w:jc w:val="both"/>
        <w:rPr>
          <w:rFonts w:ascii="Times New Roman" w:hAnsi="Times New Roman" w:cs="Times New Roman"/>
        </w:rPr>
      </w:pPr>
      <w:r w:rsidRPr="00C932D3">
        <w:rPr>
          <w:rFonts w:ascii="Times New Roman" w:hAnsi="Times New Roman" w:cs="Times New Roman"/>
        </w:rPr>
        <w:t xml:space="preserve">A </w:t>
      </w:r>
      <w:hyperlink r:id="rId5" w:history="1">
        <w:proofErr w:type="spellStart"/>
        <w:r w:rsidRPr="00C932D3">
          <w:rPr>
            <w:rStyle w:val="Hyperlink"/>
            <w:rFonts w:ascii="Times New Roman" w:hAnsi="Times New Roman" w:cs="Times New Roman"/>
          </w:rPr>
          <w:t>Zelen</w:t>
        </w:r>
        <w:proofErr w:type="spellEnd"/>
        <w:r w:rsidRPr="00C932D3">
          <w:rPr>
            <w:rStyle w:val="Hyperlink"/>
            <w:rFonts w:ascii="Times New Roman" w:hAnsi="Times New Roman" w:cs="Times New Roman"/>
          </w:rPr>
          <w:t xml:space="preserve"> Family Office</w:t>
        </w:r>
      </w:hyperlink>
      <w:r w:rsidRPr="00C932D3">
        <w:rPr>
          <w:rFonts w:ascii="Times New Roman" w:hAnsi="Times New Roman" w:cs="Times New Roman"/>
        </w:rPr>
        <w:t xml:space="preserve"> é uma empresa especializada na consultoria patrimonial e de investimentos, com foco na administração estratégica de ativos familiares. Fundada por profissionais com mais de 20 anos de atuação no mercado financeiro, a </w:t>
      </w:r>
      <w:proofErr w:type="spellStart"/>
      <w:r w:rsidRPr="00C932D3">
        <w:rPr>
          <w:rFonts w:ascii="Times New Roman" w:hAnsi="Times New Roman" w:cs="Times New Roman"/>
        </w:rPr>
        <w:t>Zelen</w:t>
      </w:r>
      <w:proofErr w:type="spellEnd"/>
      <w:r w:rsidRPr="00C932D3">
        <w:rPr>
          <w:rFonts w:ascii="Times New Roman" w:hAnsi="Times New Roman" w:cs="Times New Roman"/>
        </w:rPr>
        <w:t xml:space="preserve"> Family Office se destaca pelo trabalho integrado de planejamento patrimonial, investimentos e organização da sucessão familiar. </w:t>
      </w:r>
    </w:p>
    <w:p w14:paraId="7952CF7C" w14:textId="6AA63024" w:rsidR="00231518" w:rsidRPr="00C932D3" w:rsidRDefault="00231518" w:rsidP="00C932D3">
      <w:pPr>
        <w:jc w:val="both"/>
      </w:pPr>
    </w:p>
    <w:sectPr w:rsidR="00231518" w:rsidRPr="00C932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510E5"/>
    <w:multiLevelType w:val="multilevel"/>
    <w:tmpl w:val="9D9E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81594A"/>
    <w:multiLevelType w:val="multilevel"/>
    <w:tmpl w:val="5048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B76A6E"/>
    <w:multiLevelType w:val="multilevel"/>
    <w:tmpl w:val="B24C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A05F6"/>
    <w:multiLevelType w:val="multilevel"/>
    <w:tmpl w:val="DA0C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2B57EE"/>
    <w:multiLevelType w:val="multilevel"/>
    <w:tmpl w:val="F858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9F4E58"/>
    <w:multiLevelType w:val="multilevel"/>
    <w:tmpl w:val="BAE6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8B6DE9"/>
    <w:multiLevelType w:val="multilevel"/>
    <w:tmpl w:val="A05C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B43F65"/>
    <w:multiLevelType w:val="multilevel"/>
    <w:tmpl w:val="7412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56125B"/>
    <w:multiLevelType w:val="multilevel"/>
    <w:tmpl w:val="A384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0F655F5"/>
    <w:multiLevelType w:val="multilevel"/>
    <w:tmpl w:val="D58C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3335454">
    <w:abstractNumId w:val="2"/>
  </w:num>
  <w:num w:numId="2" w16cid:durableId="1060443414">
    <w:abstractNumId w:val="9"/>
  </w:num>
  <w:num w:numId="3" w16cid:durableId="372310292">
    <w:abstractNumId w:val="0"/>
  </w:num>
  <w:num w:numId="4" w16cid:durableId="735858194">
    <w:abstractNumId w:val="5"/>
  </w:num>
  <w:num w:numId="5" w16cid:durableId="833104151">
    <w:abstractNumId w:val="4"/>
  </w:num>
  <w:num w:numId="6" w16cid:durableId="678889808">
    <w:abstractNumId w:val="1"/>
  </w:num>
  <w:num w:numId="7" w16cid:durableId="976186920">
    <w:abstractNumId w:val="8"/>
  </w:num>
  <w:num w:numId="8" w16cid:durableId="900211022">
    <w:abstractNumId w:val="6"/>
  </w:num>
  <w:num w:numId="9" w16cid:durableId="1381325478">
    <w:abstractNumId w:val="3"/>
  </w:num>
  <w:num w:numId="10" w16cid:durableId="5401656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B1F"/>
    <w:rsid w:val="00052B1F"/>
    <w:rsid w:val="000E4131"/>
    <w:rsid w:val="001E4FA8"/>
    <w:rsid w:val="00231518"/>
    <w:rsid w:val="002E4218"/>
    <w:rsid w:val="003A2160"/>
    <w:rsid w:val="003B56A0"/>
    <w:rsid w:val="00560BA5"/>
    <w:rsid w:val="007C2F14"/>
    <w:rsid w:val="0089418D"/>
    <w:rsid w:val="008A1536"/>
    <w:rsid w:val="00962B0D"/>
    <w:rsid w:val="00A90D89"/>
    <w:rsid w:val="00AA6840"/>
    <w:rsid w:val="00B03F63"/>
    <w:rsid w:val="00B45870"/>
    <w:rsid w:val="00C932D3"/>
    <w:rsid w:val="00CE176C"/>
    <w:rsid w:val="00E7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2827A"/>
  <w15:chartTrackingRefBased/>
  <w15:docId w15:val="{37034C0F-1530-456A-A0B1-4A33EB20E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52B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52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52B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52B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52B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52B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2B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52B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52B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2B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52B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52B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52B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52B1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52B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52B1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52B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52B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52B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52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52B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52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52B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52B1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52B1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52B1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52B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52B1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52B1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52B1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2B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elen.com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444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Lançoni Bernardi</dc:creator>
  <cp:keywords/>
  <dc:description/>
  <cp:lastModifiedBy>Karina Lançoni Bernardi</cp:lastModifiedBy>
  <cp:revision>7</cp:revision>
  <dcterms:created xsi:type="dcterms:W3CDTF">2026-06-09T15:24:00Z</dcterms:created>
  <dcterms:modified xsi:type="dcterms:W3CDTF">2026-06-26T00:47:00Z</dcterms:modified>
</cp:coreProperties>
</file>