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Endividamento recorde amplia riscos para investidores e empresas </w:t>
      </w:r>
    </w:p>
    <w:p w14:paraId="00000002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Pressão sobre a renda e avanço da inadimplência exigem atenção à qualidade do crédito e resiliência financeira das empresas</w:t>
      </w:r>
    </w:p>
    <w:p w14:paraId="00000003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4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 comprometimento da renda das famílias com o pagamento de dívidas atingiu 28,85% em setembro, atingindo o maior nível desde 2022, segundo dados do Banco Central. A inadimplência entre as pessoas físicas também vem avançando e chegou a cerca de 6% em agosto, batendo novo recorde da série histórica iniciada em 2011. Na avaliação do diretor de investimentos 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Zelen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Family Office, Raphael Cordeiro, apesar da nova etapa do programa Desenrola, anunciada pelo Governo Federal na tentativa de reduzir os índices de inadimplência, os dados colocam em alerta investidores e empresas familiares.</w:t>
      </w:r>
    </w:p>
    <w:p w14:paraId="00000005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6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Ele explica que o aumento do endividamento vai além do orçamento doméstico, podendo reduzir o consumo, elevar o risco de crédito e pressionar a geração de caixa de companhias mais dependentes do mercado interno. Nesse ambiente, ganham importância a qualidade dos balanços, a liquidez e a capacidade das empresas de atravessar períodos prolongados de juros elevados. “Os efeitos tendem a ser mais relevantes para empresas expostas ao consumo doméstico e à oferta de crédito. Com uma parcela maior da renda destinada ao pagamento de dívidas, </w:t>
      </w:r>
      <w:r>
        <w:rPr>
          <w:rFonts w:ascii="Times New Roman" w:eastAsia="Times New Roman" w:hAnsi="Times New Roman" w:cs="Times New Roman"/>
        </w:rPr>
        <w:t>os consumidores</w:t>
      </w:r>
      <w:r>
        <w:rPr>
          <w:rFonts w:ascii="Times New Roman" w:eastAsia="Times New Roman" w:hAnsi="Times New Roman" w:cs="Times New Roman"/>
          <w:color w:val="000000"/>
        </w:rPr>
        <w:t xml:space="preserve"> podem adiar compras e priorizar despesas essenciais, pressionando receitas e a geração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de caixa das empresas”, destaca Cordeiro.</w:t>
      </w:r>
    </w:p>
    <w:p w14:paraId="00000007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0000008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Nesse cenário, </w:t>
      </w:r>
      <w:r>
        <w:rPr>
          <w:rFonts w:ascii="Times New Roman" w:eastAsia="Times New Roman" w:hAnsi="Times New Roman" w:cs="Times New Roman"/>
          <w:highlight w:val="white"/>
        </w:rPr>
        <w:t xml:space="preserve">avaliar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os balanços, </w:t>
      </w:r>
      <w:proofErr w:type="gramStart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a liquidez e a alavancagem das companhias </w:t>
      </w:r>
      <w:r>
        <w:rPr>
          <w:rFonts w:ascii="Times New Roman" w:eastAsia="Times New Roman" w:hAnsi="Times New Roman" w:cs="Times New Roman"/>
          <w:highlight w:val="white"/>
        </w:rPr>
        <w:t>é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importante, alerta o especialista. “O contexto atual sugere que teremos um aumento de recuperações judiciais, o que compromete o investimento em títulos de renda fixa como debêntures, CRIs 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CRAs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 Também é necessário avaliar a exposição das empresas à inadimplência de seus clientes”, afirma Cordeiro ao lembrar que o Brasil passa por um momento recorde de recuperações judiciais, com mais de 6 mil empresas em recuperação judicial ativa somente no primeiro semestre de 2026.</w:t>
      </w:r>
    </w:p>
    <w:p w14:paraId="00000009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A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‘</w:t>
      </w:r>
      <w:r>
        <w:rPr>
          <w:rFonts w:ascii="Times New Roman" w:eastAsia="Times New Roman" w:hAnsi="Times New Roman" w:cs="Times New Roman"/>
          <w:color w:val="000000"/>
        </w:rPr>
        <w:t>Desenrola 3.0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color w:val="000000"/>
        </w:rPr>
        <w:t xml:space="preserve"> acrescenta um elemento conjuntural ao debate ao buscar facilitar a renegociação de dívidas inadimplentes. Seus efeitos sobre o consumo e o crédito, no entanto, dependerão da capacidade das famílias de manter os pagamentos após a renegociação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“V</w:t>
      </w:r>
      <w:r>
        <w:rPr>
          <w:rFonts w:ascii="Times New Roman" w:eastAsia="Times New Roman" w:hAnsi="Times New Roman" w:cs="Times New Roman"/>
          <w:color w:val="000000"/>
        </w:rPr>
        <w:t>ale lembrar que os fatores que contribuíram para o acúmulo das dívidas ainda persistem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Por outro lado, </w:t>
      </w:r>
      <w:r>
        <w:rPr>
          <w:rFonts w:ascii="Times New Roman" w:eastAsia="Times New Roman" w:hAnsi="Times New Roman" w:cs="Times New Roman"/>
        </w:rPr>
        <w:t>companhias que negociam com os credores antes da recuperação judicial tendem a sair da crise com mais facilidade</w:t>
      </w:r>
      <w:r>
        <w:rPr>
          <w:rFonts w:ascii="Times New Roman" w:eastAsia="Times New Roman" w:hAnsi="Times New Roman" w:cs="Times New Roman"/>
          <w:color w:val="000000"/>
        </w:rPr>
        <w:t xml:space="preserve">”, </w:t>
      </w:r>
      <w:r>
        <w:rPr>
          <w:rFonts w:ascii="Times New Roman" w:eastAsia="Times New Roman" w:hAnsi="Times New Roman" w:cs="Times New Roman"/>
        </w:rPr>
        <w:t>explica</w:t>
      </w:r>
      <w:r>
        <w:rPr>
          <w:rFonts w:ascii="Times New Roman" w:eastAsia="Times New Roman" w:hAnsi="Times New Roman" w:cs="Times New Roman"/>
          <w:color w:val="000000"/>
        </w:rPr>
        <w:t xml:space="preserve"> Cordeiro. </w:t>
      </w:r>
    </w:p>
    <w:p w14:paraId="0000000B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C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Na avaliação de Co</w:t>
      </w:r>
      <w:r>
        <w:rPr>
          <w:rFonts w:ascii="Times New Roman" w:eastAsia="Times New Roman" w:hAnsi="Times New Roman" w:cs="Times New Roman"/>
          <w:color w:val="000000"/>
          <w:highlight w:val="white"/>
        </w:rPr>
        <w:t>rdeiro, um alívio pontual não deve ser interpretado pelo investidor como sinal de recuperação automática e homogênea do consumo</w:t>
      </w:r>
      <w:r>
        <w:rPr>
          <w:rFonts w:ascii="Times New Roman" w:eastAsia="Times New Roman" w:hAnsi="Times New Roman" w:cs="Times New Roman"/>
          <w:highlight w:val="white"/>
        </w:rPr>
        <w:t xml:space="preserve">. Ele ressalta que apenas os títulos bancários, como CDB, LCI e LCA contam com a garantia do Fundo Garantidor de Crédito (FGC). </w:t>
      </w:r>
    </w:p>
    <w:p w14:paraId="0000000D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77777777" w:rsidR="004536C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Para as empresas familiares, o cenário reforça a importância de preservar liquidez, evitar a concentração excessiva de riscos e manter uma alocação compatível com o horizonte do patrimônio. A diversificação entre classes de ativos, emissores e indexadores reduz a dependência de um único cenário macroeconômico. “Em um ambiente de renda pressionada e crédito caro, preservar flexibilidade é tão importante quanto buscar retorno. A orientação é priorizar ativos de qualidade, empresas com balanços resilientes e decisões compatíveis com o horizonte de cada família”, ressalta Cordeiro.</w:t>
      </w:r>
    </w:p>
    <w:p w14:paraId="0000000F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0" w14:textId="77777777" w:rsidR="004536CC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 xml:space="preserve">Sobre a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Zelen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Family Office</w:t>
      </w:r>
    </w:p>
    <w:p w14:paraId="00000011" w14:textId="77777777" w:rsidR="004536CC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</w:t>
      </w:r>
      <w:hyperlink r:id="rId5">
        <w:proofErr w:type="spellStart"/>
        <w:r>
          <w:rPr>
            <w:rFonts w:ascii="Times New Roman" w:eastAsia="Times New Roman" w:hAnsi="Times New Roman" w:cs="Times New Roman"/>
            <w:color w:val="467886"/>
            <w:sz w:val="22"/>
            <w:szCs w:val="22"/>
            <w:u w:val="single"/>
          </w:rPr>
          <w:t>Zelen</w:t>
        </w:r>
        <w:proofErr w:type="spellEnd"/>
        <w:r>
          <w:rPr>
            <w:rFonts w:ascii="Times New Roman" w:eastAsia="Times New Roman" w:hAnsi="Times New Roman" w:cs="Times New Roman"/>
            <w:color w:val="467886"/>
            <w:sz w:val="22"/>
            <w:szCs w:val="22"/>
            <w:u w:val="single"/>
          </w:rPr>
          <w:t xml:space="preserve"> Family Office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é uma empresa especializada na consultoria patrimonial e de investimentos, com foco na administração estratégica de ativos familiares. Fundada por profissionais com mais de 20 anos de atuação no mercado financeiro, 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Zelen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Family Office se destaca pelo trabalho integrado de planejamento patrimonial, investimentos e organização da sucessão familiar. </w:t>
      </w:r>
    </w:p>
    <w:p w14:paraId="00000012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3" w14:textId="77777777" w:rsidR="004536CC" w:rsidRDefault="004536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4536C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0C5D778-05B9-4C14-97B4-FD4E15773657}"/>
    <w:embedItalic r:id="rId2" w:fontKey="{9E09836F-4BB6-4DF3-BDE3-79F32EA01DA1}"/>
  </w:font>
  <w:font w:name="Play">
    <w:charset w:val="00"/>
    <w:family w:val="auto"/>
    <w:pitch w:val="default"/>
    <w:embedRegular r:id="rId3" w:fontKey="{990FF74E-733F-4C8B-81B2-76E465F916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0FA2EA5-FEDF-4349-B264-84351B2CDB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6CC"/>
    <w:rsid w:val="004536CC"/>
    <w:rsid w:val="00E64D67"/>
    <w:rsid w:val="00EE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D2E2F2-4699-4EC9-9F9A-B85F4AAC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i/>
      <w:iCs/>
      <w:color w:val="0F476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color w:val="0F4761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i/>
      <w:iCs/>
      <w:color w:val="595959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046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46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046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640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640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640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6404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6404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6404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04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4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046F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640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640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4046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6404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046F"/>
    <w:pPr>
      <w:spacing w:line="259" w:lineRule="auto"/>
      <w:ind w:left="720"/>
      <w:contextualSpacing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6404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0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04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4046F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64046F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spacing w:line="259" w:lineRule="auto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elen.com.br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9iLEydzsAFR4HswfGjeMRN0RUA==">CgMxLjA4AHIhMUdmb0Z4UEFCVWFxYUxtQnV5VXVJWVZyeTRUbVFzMjZi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Lançoni Bernardi</dc:creator>
  <cp:lastModifiedBy>Karina Lançoni Bernardi</cp:lastModifiedBy>
  <cp:revision>2</cp:revision>
  <dcterms:created xsi:type="dcterms:W3CDTF">2026-10-09T14:07:00Z</dcterms:created>
  <dcterms:modified xsi:type="dcterms:W3CDTF">2026-10-09T14:07:00Z</dcterms:modified>
</cp:coreProperties>
</file>